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DD0CF0">
      <w:pPr>
        <w:jc w:val="center"/>
        <w:rPr>
          <w:rFonts w:hint="eastAsia" w:ascii="方正小标宋简体" w:hAnsi="方正小标宋简体" w:eastAsia="方正小标宋简体" w:cs="方正小标宋简体"/>
          <w:b/>
          <w:color w:val="000000"/>
          <w:sz w:val="44"/>
          <w:szCs w:val="44"/>
          <w:highlight w:val="none"/>
          <w:shd w:val="clear" w:color="auto" w:fill="auto"/>
        </w:rPr>
      </w:pPr>
      <w:bookmarkStart w:id="182" w:name="_GoBack"/>
      <w:bookmarkEnd w:id="182"/>
    </w:p>
    <w:p w14:paraId="09A6F1E5">
      <w:pPr>
        <w:jc w:val="center"/>
        <w:rPr>
          <w:rFonts w:hint="eastAsia" w:ascii="方正小标宋简体" w:hAnsi="方正小标宋简体" w:eastAsia="方正小标宋简体" w:cs="方正小标宋简体"/>
          <w:b/>
          <w:color w:val="000000"/>
          <w:sz w:val="44"/>
          <w:szCs w:val="44"/>
          <w:highlight w:val="none"/>
          <w:shd w:val="clear" w:color="auto" w:fill="auto"/>
        </w:rPr>
      </w:pPr>
    </w:p>
    <w:p w14:paraId="2A35CF59">
      <w:pPr>
        <w:jc w:val="center"/>
        <w:rPr>
          <w:rFonts w:hint="eastAsia" w:ascii="方正小标宋简体" w:hAnsi="方正小标宋简体" w:eastAsia="方正小标宋简体" w:cs="方正小标宋简体"/>
          <w:b/>
          <w:color w:val="000000"/>
          <w:sz w:val="44"/>
          <w:szCs w:val="44"/>
          <w:highlight w:val="none"/>
          <w:shd w:val="clear" w:color="auto" w:fill="auto"/>
        </w:rPr>
      </w:pPr>
    </w:p>
    <w:p w14:paraId="5A55F5CD">
      <w:pPr>
        <w:jc w:val="center"/>
        <w:rPr>
          <w:rFonts w:hint="eastAsia" w:ascii="方正小标宋简体" w:hAnsi="方正小标宋简体" w:eastAsia="方正小标宋简体" w:cs="方正小标宋简体"/>
          <w:color w:val="000000"/>
          <w:sz w:val="44"/>
          <w:szCs w:val="44"/>
          <w:highlight w:val="none"/>
          <w:shd w:val="clear" w:color="auto" w:fill="auto"/>
          <w:lang w:eastAsia="zh-CN"/>
        </w:rPr>
      </w:pPr>
      <w:r>
        <w:rPr>
          <w:rFonts w:hint="eastAsia" w:ascii="方正小标宋简体" w:hAnsi="方正小标宋简体" w:eastAsia="方正小标宋简体" w:cs="方正小标宋简体"/>
          <w:b/>
          <w:color w:val="000000"/>
          <w:sz w:val="44"/>
          <w:szCs w:val="44"/>
          <w:highlight w:val="none"/>
          <w:shd w:val="clear" w:color="auto" w:fill="auto"/>
        </w:rPr>
        <w:t>建设工程造价咨询合同</w:t>
      </w:r>
    </w:p>
    <w:p w14:paraId="51BBAA2A">
      <w:pPr>
        <w:ind w:firstLine="1441"/>
        <w:rPr>
          <w:rFonts w:hint="eastAsia" w:ascii="华文中宋" w:hAnsi="华文中宋" w:eastAsia="华文中宋"/>
          <w:color w:val="000000"/>
          <w:highlight w:val="none"/>
          <w:shd w:val="clear" w:color="auto" w:fill="auto"/>
          <w:lang w:eastAsia="zh-CN"/>
        </w:rPr>
      </w:pPr>
    </w:p>
    <w:p w14:paraId="172123C2">
      <w:pPr>
        <w:ind w:firstLine="1441"/>
        <w:rPr>
          <w:rFonts w:hint="eastAsia" w:ascii="华文中宋" w:hAnsi="华文中宋" w:eastAsia="华文中宋"/>
          <w:color w:val="000000"/>
          <w:highlight w:val="none"/>
          <w:shd w:val="clear" w:color="auto" w:fill="auto"/>
          <w:lang w:eastAsia="zh-CN"/>
        </w:rPr>
      </w:pPr>
    </w:p>
    <w:p w14:paraId="29C40044">
      <w:pPr>
        <w:ind w:firstLine="1441"/>
        <w:rPr>
          <w:rFonts w:hint="eastAsia" w:ascii="华文中宋" w:hAnsi="华文中宋" w:eastAsia="华文中宋"/>
          <w:color w:val="000000"/>
          <w:highlight w:val="none"/>
          <w:shd w:val="clear" w:color="auto" w:fill="auto"/>
          <w:lang w:eastAsia="zh-CN"/>
        </w:rPr>
      </w:pPr>
    </w:p>
    <w:p w14:paraId="1B96D448">
      <w:pPr>
        <w:ind w:firstLine="5760" w:firstLineChars="1800"/>
        <w:rPr>
          <w:rFonts w:hint="default" w:eastAsia="仿宋_GB2312"/>
          <w:color w:val="000000"/>
          <w:highlight w:val="none"/>
          <w:shd w:val="clear" w:color="auto" w:fill="auto"/>
          <w:lang w:val="en-US" w:eastAsia="zh-CN"/>
        </w:rPr>
      </w:pPr>
      <w:r>
        <w:rPr>
          <w:rFonts w:hint="eastAsia" w:ascii="仿宋_GB2312" w:hAnsi="仿宋_GB2312" w:eastAsia="仿宋_GB2312" w:cs="仿宋_GB2312"/>
          <w:b w:val="0"/>
          <w:bCs/>
          <w:color w:val="000000"/>
          <w:sz w:val="32"/>
          <w:szCs w:val="32"/>
          <w:highlight w:val="none"/>
          <w:shd w:val="clear" w:color="auto" w:fill="auto"/>
        </w:rPr>
        <w:t>合同编号：</w:t>
      </w:r>
      <w:permStart w:id="0" w:edGrp="everyone"/>
      <w:r>
        <w:rPr>
          <w:rFonts w:hint="eastAsia" w:ascii="仿宋_GB2312" w:hAnsi="仿宋_GB2312" w:eastAsia="仿宋_GB2312" w:cs="仿宋_GB2312"/>
          <w:b w:val="0"/>
          <w:bCs/>
          <w:color w:val="000000"/>
          <w:sz w:val="30"/>
          <w:szCs w:val="30"/>
          <w:highlight w:val="none"/>
          <w:shd w:val="clear" w:color="auto" w:fill="auto"/>
          <w:lang w:val="en-US" w:eastAsia="zh-CN"/>
        </w:rPr>
        <w:t xml:space="preserve">   </w:t>
      </w:r>
    </w:p>
    <w:permEnd w:id="0"/>
    <w:p w14:paraId="198A4C8D">
      <w:pPr>
        <w:pStyle w:val="11"/>
        <w:rPr>
          <w:rFonts w:hint="eastAsia"/>
          <w:highlight w:val="none"/>
          <w:shd w:val="clear" w:color="auto" w:fill="auto"/>
        </w:rPr>
      </w:pPr>
    </w:p>
    <w:p w14:paraId="1DC96A0E">
      <w:pPr>
        <w:ind w:firstLine="560"/>
        <w:rPr>
          <w:color w:val="000000"/>
          <w:highlight w:val="none"/>
          <w:shd w:val="clear" w:color="auto" w:fill="auto"/>
        </w:rPr>
      </w:pPr>
    </w:p>
    <w:p w14:paraId="78EC2AA5">
      <w:pPr>
        <w:ind w:firstLine="560"/>
        <w:rPr>
          <w:color w:val="000000"/>
          <w:highlight w:val="none"/>
          <w:shd w:val="clear" w:color="auto" w:fill="auto"/>
        </w:rPr>
      </w:pPr>
    </w:p>
    <w:p w14:paraId="47703A97">
      <w:pPr>
        <w:ind w:firstLine="560"/>
        <w:rPr>
          <w:color w:val="000000"/>
          <w:highlight w:val="none"/>
          <w:shd w:val="clear" w:color="auto" w:fill="auto"/>
        </w:rPr>
      </w:pPr>
    </w:p>
    <w:p w14:paraId="49CE101C">
      <w:pPr>
        <w:spacing w:line="594" w:lineRule="exact"/>
        <w:ind w:right="19" w:rightChars="9" w:firstLine="320" w:firstLineChars="100"/>
        <w:jc w:val="both"/>
        <w:rPr>
          <w:rFonts w:hint="default" w:ascii="仿宋_GB2312" w:hAnsi="仿宋_GB2312" w:eastAsia="仿宋_GB2312" w:cs="仿宋_GB2312"/>
          <w:color w:val="000000"/>
          <w:sz w:val="32"/>
          <w:szCs w:val="32"/>
          <w:highlight w:val="none"/>
          <w:shd w:val="clear" w:color="auto" w:fill="auto"/>
          <w:lang w:val="en-US"/>
        </w:rPr>
      </w:pPr>
      <w:r>
        <w:rPr>
          <w:rFonts w:hint="eastAsia" w:ascii="仿宋_GB2312" w:hAnsi="仿宋_GB2312" w:eastAsia="仿宋_GB2312" w:cs="仿宋_GB2312"/>
          <w:color w:val="000000"/>
          <w:sz w:val="32"/>
          <w:szCs w:val="32"/>
          <w:highlight w:val="none"/>
          <w:shd w:val="clear" w:color="auto" w:fill="auto"/>
        </w:rPr>
        <w:t>项目名称：</w:t>
      </w:r>
      <w:permStart w:id="1"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permEnd w:id="1"/>
    </w:p>
    <w:p w14:paraId="25A4A5C9">
      <w:pPr>
        <w:spacing w:line="594" w:lineRule="exact"/>
        <w:ind w:right="19" w:rightChars="9" w:firstLine="320" w:firstLineChars="100"/>
        <w:jc w:val="both"/>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rPr>
        <w:t>咨询类别：</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工程量清单及控制价编制</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p>
    <w:p w14:paraId="3C651033">
      <w:pPr>
        <w:spacing w:line="594" w:lineRule="exact"/>
        <w:ind w:right="19" w:rightChars="9" w:firstLine="320" w:firstLineChars="1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 托 人：</w:t>
      </w:r>
      <w:permStart w:id="2"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海南省桂林洋公用事业发展有限公司  </w:t>
      </w:r>
      <w:r>
        <w:rPr>
          <w:rFonts w:hint="eastAsia" w:ascii="仿宋_GB2312" w:hAnsi="仿宋_GB2312" w:eastAsia="仿宋_GB2312" w:cs="仿宋_GB2312"/>
          <w:b/>
          <w:bCs/>
          <w:color w:val="000000"/>
          <w:kern w:val="0"/>
          <w:sz w:val="32"/>
          <w:szCs w:val="32"/>
          <w:highlight w:val="none"/>
          <w:u w:val="single"/>
          <w:shd w:val="clear" w:color="auto" w:fill="auto"/>
        </w:rPr>
        <w:t xml:space="preserve"> </w:t>
      </w:r>
      <w:permEnd w:id="2"/>
    </w:p>
    <w:p w14:paraId="59F57527">
      <w:pPr>
        <w:spacing w:line="594" w:lineRule="exact"/>
        <w:ind w:right="19" w:rightChars="9" w:firstLine="320" w:firstLineChars="1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 询 人：</w:t>
      </w:r>
      <w:permStart w:id="3" w:edGrp="everyone"/>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permEnd w:id="3"/>
    </w:p>
    <w:p w14:paraId="3D213F5A">
      <w:pPr>
        <w:spacing w:line="594" w:lineRule="exact"/>
        <w:ind w:right="19" w:rightChars="9" w:firstLine="320" w:firstLineChars="1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签订时间：</w:t>
      </w:r>
      <w:permStart w:id="4" w:edGrp="everyone"/>
      <w:r>
        <w:rPr>
          <w:rFonts w:hint="eastAsia" w:ascii="仿宋_GB2312" w:hAnsi="仿宋_GB2312" w:eastAsia="仿宋_GB2312" w:cs="仿宋_GB2312"/>
          <w:color w:val="000000"/>
          <w:sz w:val="32"/>
          <w:szCs w:val="32"/>
          <w:highlight w:val="none"/>
          <w:u w:val="single"/>
          <w:shd w:val="clear" w:color="auto" w:fill="auto"/>
        </w:rPr>
        <w:t xml:space="preserve">                                      </w:t>
      </w:r>
      <w:permEnd w:id="4"/>
    </w:p>
    <w:p w14:paraId="54087499">
      <w:pPr>
        <w:spacing w:line="594" w:lineRule="exact"/>
        <w:ind w:right="19" w:rightChars="9" w:firstLine="320" w:firstLineChars="100"/>
        <w:rPr>
          <w:rFonts w:ascii="仿宋" w:hAnsi="仿宋" w:eastAsia="仿宋"/>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签订地点：</w:t>
      </w:r>
      <w:permStart w:id="5"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海南省海口市              </w:t>
      </w:r>
    </w:p>
    <w:permEnd w:id="5"/>
    <w:p w14:paraId="5CCD60A5">
      <w:pPr>
        <w:jc w:val="center"/>
        <w:rPr>
          <w:color w:val="000000"/>
          <w:highlight w:val="none"/>
          <w:shd w:val="clear" w:color="auto" w:fill="auto"/>
        </w:rPr>
      </w:pPr>
    </w:p>
    <w:p w14:paraId="4796A753">
      <w:pPr>
        <w:pStyle w:val="12"/>
        <w:rPr>
          <w:rFonts w:hint="eastAsia"/>
          <w:sz w:val="32"/>
          <w:szCs w:val="32"/>
          <w:highlight w:val="none"/>
          <w:shd w:val="clear" w:color="auto" w:fill="auto"/>
        </w:rPr>
      </w:pPr>
    </w:p>
    <w:p w14:paraId="470263C1">
      <w:pPr>
        <w:pStyle w:val="13"/>
        <w:rPr>
          <w:rFonts w:ascii="宋体" w:hAnsi="宋体"/>
          <w:color w:val="000000"/>
          <w:sz w:val="24"/>
          <w:szCs w:val="24"/>
          <w:highlight w:val="none"/>
          <w:shd w:val="clear" w:color="auto" w:fill="auto"/>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pPr>
    </w:p>
    <w:p w14:paraId="5391041E">
      <w:pPr>
        <w:pStyle w:val="14"/>
        <w:keepNext/>
        <w:keepLines/>
        <w:pageBreakBefore w:val="0"/>
        <w:widowControl w:val="0"/>
        <w:tabs>
          <w:tab w:val="left" w:pos="3360"/>
          <w:tab w:val="center" w:pos="4153"/>
        </w:tabs>
        <w:kinsoku/>
        <w:wordWrap/>
        <w:overflowPunct/>
        <w:topLinePunct w:val="0"/>
        <w:autoSpaceDE/>
        <w:autoSpaceDN/>
        <w:bidi w:val="0"/>
        <w:adjustRightInd/>
        <w:snapToGrid/>
        <w:spacing w:before="0" w:after="0" w:line="560" w:lineRule="exact"/>
        <w:ind w:firstLine="0" w:firstLineChars="0"/>
        <w:jc w:val="center"/>
        <w:textAlignment w:val="auto"/>
        <w:rPr>
          <w:rFonts w:hint="eastAsia" w:ascii="方正小标宋简体" w:hAnsi="方正小标宋简体" w:eastAsia="方正小标宋简体" w:cs="方正小标宋简体"/>
          <w:color w:val="000000"/>
          <w:sz w:val="44"/>
          <w:szCs w:val="44"/>
          <w:highlight w:val="none"/>
          <w:shd w:val="clear" w:color="auto" w:fill="auto"/>
        </w:rPr>
      </w:pPr>
      <w:bookmarkStart w:id="0" w:name="_Toc419045055"/>
      <w:bookmarkStart w:id="1" w:name="_Toc422322470"/>
      <w:bookmarkStart w:id="2" w:name="_Toc2048"/>
      <w:r>
        <w:rPr>
          <w:rFonts w:hint="eastAsia" w:ascii="方正小标宋简体" w:hAnsi="方正小标宋简体" w:eastAsia="方正小标宋简体" w:cs="方正小标宋简体"/>
          <w:b w:val="0"/>
          <w:bCs w:val="0"/>
          <w:color w:val="000000"/>
          <w:sz w:val="44"/>
          <w:szCs w:val="44"/>
          <w:highlight w:val="none"/>
          <w:shd w:val="clear" w:color="auto" w:fill="auto"/>
        </w:rPr>
        <w:t>第一部分　协议书</w:t>
      </w:r>
      <w:bookmarkEnd w:id="0"/>
      <w:bookmarkEnd w:id="1"/>
      <w:bookmarkEnd w:id="2"/>
    </w:p>
    <w:p w14:paraId="5D6E9820">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single"/>
          <w:shd w:val="clear" w:color="auto" w:fill="auto"/>
        </w:rPr>
      </w:pPr>
      <w:bookmarkStart w:id="3" w:name="7"/>
      <w:r>
        <w:rPr>
          <w:rFonts w:hint="eastAsia" w:ascii="黑体" w:hAnsi="黑体" w:eastAsia="黑体" w:cs="黑体"/>
          <w:b w:val="0"/>
          <w:bCs w:val="0"/>
          <w:color w:val="000000"/>
          <w:sz w:val="32"/>
          <w:szCs w:val="32"/>
          <w:highlight w:val="none"/>
          <w:shd w:val="clear" w:color="auto" w:fill="auto"/>
        </w:rPr>
        <w:t>委托人：</w:t>
      </w:r>
      <w:permStart w:id="6"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海南省桂林洋公用事业发展有限公司 </w:t>
      </w:r>
    </w:p>
    <w:permEnd w:id="6"/>
    <w:p w14:paraId="5F7F20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统一社会信用代码：</w:t>
      </w:r>
      <w:permStart w:id="7" w:edGrp="everyone"/>
      <w:r>
        <w:rPr>
          <w:rFonts w:hint="eastAsia" w:ascii="仿宋_GB2312" w:hAnsi="仿宋_GB2312" w:eastAsia="仿宋_GB2312" w:cs="仿宋_GB2312"/>
          <w:b w:val="0"/>
          <w:bCs w:val="0"/>
          <w:color w:val="000000"/>
          <w:sz w:val="32"/>
          <w:szCs w:val="32"/>
          <w:highlight w:val="none"/>
          <w:shd w:val="clear" w:color="auto" w:fill="auto"/>
          <w:lang w:val="en-US" w:eastAsia="zh-CN"/>
        </w:rPr>
        <w:t>91460100MA5RF8R816</w:t>
      </w:r>
      <w:permEnd w:id="7"/>
    </w:p>
    <w:p w14:paraId="05BC3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经营地址：</w:t>
      </w:r>
      <w:permStart w:id="8" w:edGrp="everyone"/>
      <w:r>
        <w:rPr>
          <w:rFonts w:hint="eastAsia" w:ascii="仿宋_GB2312" w:hAnsi="仿宋_GB2312" w:eastAsia="仿宋_GB2312" w:cs="仿宋_GB2312"/>
          <w:sz w:val="32"/>
          <w:szCs w:val="32"/>
          <w:highlight w:val="none"/>
          <w:shd w:val="clear" w:color="auto" w:fill="auto"/>
        </w:rPr>
        <w:t>海口市桂林洋经济开发区兴洋大道94号</w:t>
      </w:r>
      <w:permEnd w:id="8"/>
    </w:p>
    <w:p w14:paraId="5448C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法定代表人：</w:t>
      </w:r>
      <w:r>
        <w:rPr>
          <w:rFonts w:hint="eastAsia" w:ascii="仿宋_GB2312" w:hAnsi="仿宋_GB2312" w:eastAsia="仿宋_GB2312" w:cs="仿宋_GB2312"/>
          <w:sz w:val="32"/>
          <w:szCs w:val="32"/>
          <w:highlight w:val="none"/>
          <w:shd w:val="clear" w:color="auto" w:fill="auto"/>
          <w:lang w:val="en-US" w:eastAsia="zh-CN"/>
        </w:rPr>
        <w:t xml:space="preserve"> </w:t>
      </w:r>
      <w:permStart w:id="9" w:edGrp="everyone"/>
      <w:r>
        <w:rPr>
          <w:rFonts w:hint="eastAsia" w:ascii="仿宋_GB2312" w:hAnsi="仿宋_GB2312" w:eastAsia="仿宋_GB2312" w:cs="仿宋_GB2312"/>
          <w:sz w:val="32"/>
          <w:szCs w:val="32"/>
          <w:highlight w:val="none"/>
          <w:shd w:val="clear" w:color="auto" w:fill="auto"/>
          <w:lang w:val="en-US" w:eastAsia="zh-CN"/>
        </w:rPr>
        <w:t>周正栋</w:t>
      </w:r>
    </w:p>
    <w:permEnd w:id="9"/>
    <w:p w14:paraId="3E2CDC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联系方式：</w:t>
      </w:r>
      <w:permStart w:id="10" w:edGrp="everyone"/>
      <w:r>
        <w:rPr>
          <w:rFonts w:hint="eastAsia" w:ascii="仿宋_GB2312" w:hAnsi="仿宋_GB2312" w:eastAsia="仿宋_GB2312" w:cs="仿宋_GB2312"/>
          <w:sz w:val="32"/>
          <w:szCs w:val="32"/>
          <w:highlight w:val="none"/>
          <w:shd w:val="clear" w:color="auto" w:fill="auto"/>
        </w:rPr>
        <w:t>0898-65710083</w:t>
      </w:r>
    </w:p>
    <w:permEnd w:id="10"/>
    <w:p w14:paraId="1F708D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电子邮箱：</w:t>
      </w:r>
      <w:permStart w:id="11" w:edGrp="everyone"/>
      <w:r>
        <w:rPr>
          <w:rFonts w:hint="eastAsia" w:ascii="仿宋_GB2312" w:hAnsi="仿宋_GB2312" w:eastAsia="仿宋_GB2312" w:cs="仿宋_GB2312"/>
          <w:sz w:val="32"/>
          <w:szCs w:val="32"/>
          <w:highlight w:val="none"/>
          <w:shd w:val="clear" w:color="auto" w:fill="auto"/>
          <w:lang w:val="en-US" w:eastAsia="zh-CN"/>
        </w:rPr>
        <w:t>/</w:t>
      </w:r>
    </w:p>
    <w:permEnd w:id="11"/>
    <w:p w14:paraId="1D4428A8">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single"/>
          <w:shd w:val="clear" w:color="auto" w:fill="auto"/>
        </w:rPr>
      </w:pPr>
      <w:r>
        <w:rPr>
          <w:rFonts w:hint="eastAsia" w:ascii="黑体" w:hAnsi="黑体" w:eastAsia="黑体" w:cs="黑体"/>
          <w:b w:val="0"/>
          <w:bCs w:val="0"/>
          <w:color w:val="000000"/>
          <w:sz w:val="32"/>
          <w:szCs w:val="32"/>
          <w:highlight w:val="none"/>
          <w:shd w:val="clear" w:color="auto" w:fill="auto"/>
        </w:rPr>
        <w:t>咨询人：</w:t>
      </w:r>
      <w:permStart w:id="12" w:edGrp="everyone"/>
      <w:r>
        <w:rPr>
          <w:rFonts w:hint="eastAsia" w:ascii="黑体" w:hAnsi="黑体" w:eastAsia="黑体" w:cs="黑体"/>
          <w:b w:val="0"/>
          <w:bCs w:val="0"/>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permEnd w:id="12"/>
    </w:p>
    <w:p w14:paraId="78B8D0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统一社会信用代码：</w:t>
      </w:r>
      <w:permStart w:id="13" w:edGrp="everyone"/>
      <w:r>
        <w:rPr>
          <w:rFonts w:hint="eastAsia" w:ascii="仿宋_GB2312" w:hAnsi="仿宋_GB2312" w:eastAsia="仿宋_GB2312" w:cs="仿宋_GB2312"/>
          <w:sz w:val="32"/>
          <w:szCs w:val="32"/>
          <w:highlight w:val="none"/>
          <w:shd w:val="clear" w:color="auto" w:fill="auto"/>
          <w:lang w:val="en-US" w:eastAsia="zh-CN"/>
        </w:rPr>
        <w:t xml:space="preserve">               </w:t>
      </w:r>
      <w:permEnd w:id="13"/>
      <w:r>
        <w:rPr>
          <w:rFonts w:hint="eastAsia" w:ascii="仿宋_GB2312" w:hAnsi="仿宋_GB2312" w:eastAsia="仿宋_GB2312" w:cs="仿宋_GB2312"/>
          <w:sz w:val="32"/>
          <w:szCs w:val="32"/>
          <w:highlight w:val="none"/>
          <w:shd w:val="clear" w:color="auto" w:fill="auto"/>
          <w:lang w:val="en-US" w:eastAsia="zh-CN"/>
        </w:rPr>
        <w:t xml:space="preserve">      </w:t>
      </w:r>
    </w:p>
    <w:p w14:paraId="37BB7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经营地址：</w:t>
      </w:r>
      <w:permStart w:id="14"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14"/>
    <w:p w14:paraId="133503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法定代表人：</w:t>
      </w:r>
      <w:permStart w:id="15"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15"/>
    <w:p w14:paraId="19211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联系方式：</w:t>
      </w:r>
      <w:permStart w:id="16"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16"/>
    <w:p w14:paraId="061DAD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电子邮箱：</w:t>
      </w:r>
      <w:permStart w:id="17"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17"/>
    <w:p w14:paraId="0683C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lang w:val="en-US" w:eastAsia="zh-CN"/>
        </w:rPr>
      </w:pPr>
      <w:r>
        <w:rPr>
          <w:rFonts w:hint="eastAsia" w:ascii="黑体" w:hAnsi="黑体" w:eastAsia="黑体" w:cs="黑体"/>
          <w:b w:val="0"/>
          <w:bCs/>
          <w:color w:val="000000"/>
          <w:sz w:val="32"/>
          <w:szCs w:val="32"/>
          <w:highlight w:val="none"/>
          <w:shd w:val="clear" w:color="auto" w:fill="auto"/>
          <w:lang w:val="en-US" w:eastAsia="zh-CN"/>
        </w:rPr>
        <w:t>鉴于：</w:t>
      </w:r>
    </w:p>
    <w:p w14:paraId="573B0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28"/>
          <w:szCs w:val="28"/>
          <w:highlight w:val="none"/>
          <w:shd w:val="clear" w:color="auto" w:fill="auto"/>
        </w:rPr>
      </w:pPr>
      <w:r>
        <w:rPr>
          <w:rFonts w:hint="eastAsia" w:ascii="仿宋_GB2312" w:hAnsi="仿宋_GB2312" w:eastAsia="仿宋_GB2312" w:cs="仿宋_GB2312"/>
          <w:b w:val="0"/>
          <w:bCs w:val="0"/>
          <w:color w:val="000000"/>
          <w:sz w:val="32"/>
          <w:szCs w:val="32"/>
          <w:highlight w:val="none"/>
          <w:shd w:val="clear" w:color="auto" w:fill="auto"/>
          <w:lang w:val="en-US" w:eastAsia="zh-CN"/>
        </w:rPr>
        <w:t>委托人需要对</w:t>
      </w:r>
      <w:permStart w:id="18" w:edGrp="everyone"/>
      <w:r>
        <w:rPr>
          <w:rFonts w:hint="eastAsia" w:ascii="仿宋_GB2312" w:hAnsi="仿宋_GB2312" w:eastAsia="仿宋_GB2312" w:cs="仿宋_GB2312"/>
          <w:b w:val="0"/>
          <w:bCs w:val="0"/>
          <w:color w:val="000000"/>
          <w:sz w:val="32"/>
          <w:szCs w:val="32"/>
          <w:highlight w:val="none"/>
          <w:u w:val="single"/>
          <w:shd w:val="clear" w:color="auto" w:fill="auto"/>
          <w:lang w:val="en-US" w:eastAsia="zh-CN"/>
        </w:rPr>
        <w:t xml:space="preserve">            </w:t>
      </w:r>
      <w:permEnd w:id="18"/>
      <w:r>
        <w:rPr>
          <w:rFonts w:hint="eastAsia" w:ascii="仿宋_GB2312" w:hAnsi="仿宋_GB2312" w:eastAsia="仿宋_GB2312" w:cs="仿宋_GB2312"/>
          <w:b w:val="0"/>
          <w:bCs w:val="0"/>
          <w:color w:val="000000"/>
          <w:sz w:val="32"/>
          <w:szCs w:val="32"/>
          <w:highlight w:val="none"/>
          <w:u w:val="none"/>
          <w:shd w:val="clear" w:color="auto" w:fill="auto"/>
          <w:lang w:val="en-US" w:eastAsia="zh-CN"/>
        </w:rPr>
        <w:t>进行</w:t>
      </w:r>
      <w:r>
        <w:rPr>
          <w:rFonts w:hint="eastAsia" w:ascii="仿宋_GB2312" w:hAnsi="仿宋_GB2312" w:eastAsia="仿宋_GB2312" w:cs="仿宋_GB2312"/>
          <w:color w:val="000000"/>
          <w:sz w:val="32"/>
          <w:szCs w:val="32"/>
          <w:highlight w:val="none"/>
          <w:u w:val="none"/>
          <w:shd w:val="clear" w:color="auto" w:fill="auto"/>
        </w:rPr>
        <w:t>工程量清单及控制价编制</w:t>
      </w:r>
      <w:r>
        <w:rPr>
          <w:rFonts w:hint="eastAsia" w:ascii="仿宋_GB2312" w:hAnsi="仿宋_GB2312" w:eastAsia="仿宋_GB2312" w:cs="仿宋_GB2312"/>
          <w:b w:val="0"/>
          <w:bCs w:val="0"/>
          <w:color w:val="000000"/>
          <w:sz w:val="32"/>
          <w:szCs w:val="32"/>
          <w:highlight w:val="none"/>
          <w:u w:val="none"/>
          <w:shd w:val="clear" w:color="auto" w:fill="auto"/>
          <w:lang w:val="en-US" w:eastAsia="zh-CN"/>
        </w:rPr>
        <w:t>服务，咨询人具备相应造价咨询能力和资质，</w:t>
      </w:r>
      <w:r>
        <w:rPr>
          <w:rFonts w:hint="eastAsia" w:ascii="仿宋_GB2312" w:hAnsi="仿宋_GB2312" w:eastAsia="仿宋_GB2312" w:cs="仿宋_GB2312"/>
          <w:b w:val="0"/>
          <w:bCs w:val="0"/>
          <w:color w:val="000000"/>
          <w:sz w:val="32"/>
          <w:szCs w:val="32"/>
          <w:highlight w:val="none"/>
          <w:shd w:val="clear" w:color="auto" w:fill="auto"/>
          <w:lang w:val="en-US" w:eastAsia="zh-CN"/>
        </w:rPr>
        <w:t>经双方友好协商，</w:t>
      </w:r>
      <w:r>
        <w:rPr>
          <w:rFonts w:hint="eastAsia" w:ascii="仿宋_GB2312" w:hAnsi="仿宋_GB2312" w:eastAsia="仿宋_GB2312" w:cs="仿宋_GB2312"/>
          <w:b w:val="0"/>
          <w:bCs w:val="0"/>
          <w:color w:val="000000"/>
          <w:sz w:val="32"/>
          <w:szCs w:val="32"/>
          <w:highlight w:val="none"/>
          <w:shd w:val="clear" w:color="auto" w:fill="auto"/>
        </w:rPr>
        <w:t>根据《中华人民共和国民法典》《中华人民共和国建筑法》及有关法律规定，遵循平等、自愿、公平和诚实信用的原则，双方就</w:t>
      </w:r>
      <w:permStart w:id="19" w:edGrp="everyone"/>
      <w:r>
        <w:rPr>
          <w:rFonts w:hint="eastAsia" w:ascii="仿宋_GB2312" w:hAnsi="仿宋_GB2312" w:eastAsia="仿宋_GB2312" w:cs="仿宋_GB2312"/>
          <w:b w:val="0"/>
          <w:bCs w:val="0"/>
          <w:color w:val="000000"/>
          <w:sz w:val="32"/>
          <w:szCs w:val="32"/>
          <w:highlight w:val="none"/>
          <w:u w:val="single"/>
          <w:shd w:val="clear" w:color="auto" w:fill="auto"/>
        </w:rPr>
        <w:t xml:space="preserve"> </w:t>
      </w:r>
      <w:r>
        <w:rPr>
          <w:rFonts w:hint="eastAsia" w:ascii="仿宋_GB2312" w:hAnsi="仿宋_GB2312" w:eastAsia="仿宋_GB2312" w:cs="仿宋_GB2312"/>
          <w:b w:val="0"/>
          <w:bCs w:val="0"/>
          <w:color w:val="000000"/>
          <w:sz w:val="32"/>
          <w:szCs w:val="32"/>
          <w:highlight w:val="none"/>
          <w:u w:val="single"/>
          <w:shd w:val="clear" w:color="auto" w:fill="auto"/>
          <w:lang w:val="en-US" w:eastAsia="zh-CN"/>
        </w:rPr>
        <w:t xml:space="preserve">       </w:t>
      </w:r>
      <w:permEnd w:id="19"/>
      <w:r>
        <w:rPr>
          <w:rFonts w:hint="eastAsia" w:ascii="仿宋_GB2312" w:hAnsi="仿宋_GB2312" w:eastAsia="仿宋_GB2312" w:cs="仿宋_GB2312"/>
          <w:b w:val="0"/>
          <w:bCs w:val="0"/>
          <w:color w:val="000000"/>
          <w:sz w:val="32"/>
          <w:szCs w:val="32"/>
          <w:highlight w:val="none"/>
          <w:shd w:val="clear" w:color="auto" w:fill="auto"/>
        </w:rPr>
        <w:t>及有关事项协商一致，共同达成如下协议：</w:t>
      </w:r>
    </w:p>
    <w:p w14:paraId="7E36298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bookmarkStart w:id="4" w:name="_Toc422322471"/>
      <w:bookmarkStart w:id="5" w:name="_Toc419045056"/>
      <w:r>
        <w:rPr>
          <w:rStyle w:val="16"/>
          <w:rFonts w:hint="eastAsia" w:ascii="黑体" w:hAnsi="黑体" w:eastAsia="黑体" w:cs="黑体"/>
          <w:b w:val="0"/>
          <w:bCs w:val="0"/>
          <w:color w:val="000000"/>
          <w:sz w:val="32"/>
          <w:szCs w:val="32"/>
          <w:highlight w:val="none"/>
          <w:shd w:val="clear" w:color="auto" w:fill="auto"/>
        </w:rPr>
        <w:t>一、工程概况</w:t>
      </w:r>
      <w:bookmarkEnd w:id="4"/>
    </w:p>
    <w:p w14:paraId="2AD4FD8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sz w:val="32"/>
          <w:szCs w:val="32"/>
          <w:highlight w:val="none"/>
          <w:shd w:val="clear" w:color="auto" w:fill="auto"/>
          <w:lang w:val="en-US"/>
        </w:rPr>
      </w:pPr>
      <w:r>
        <w:rPr>
          <w:rFonts w:hint="eastAsia" w:ascii="仿宋_GB2312" w:hAnsi="仿宋_GB2312" w:eastAsia="仿宋_GB2312" w:cs="仿宋_GB2312"/>
          <w:color w:val="000000"/>
          <w:sz w:val="32"/>
          <w:szCs w:val="32"/>
          <w:highlight w:val="none"/>
          <w:shd w:val="clear" w:color="auto" w:fill="auto"/>
        </w:rPr>
        <w:t>1.工程名称：</w:t>
      </w:r>
      <w:permStart w:id="20"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permEnd w:id="20"/>
    </w:p>
    <w:p w14:paraId="32B43AB6">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2.工程地点：</w:t>
      </w:r>
      <w:bookmarkEnd w:id="5"/>
      <w:permStart w:id="21"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 xml:space="preserve"> </w:t>
      </w:r>
      <w:permEnd w:id="21"/>
      <w:r>
        <w:rPr>
          <w:rFonts w:hint="eastAsia" w:ascii="仿宋_GB2312" w:hAnsi="仿宋_GB2312" w:eastAsia="仿宋_GB2312" w:cs="仿宋_GB2312"/>
          <w:color w:val="000000"/>
          <w:sz w:val="32"/>
          <w:szCs w:val="32"/>
          <w:highlight w:val="none"/>
          <w:shd w:val="clear" w:color="auto" w:fill="auto"/>
        </w:rPr>
        <w:t xml:space="preserve"> </w:t>
      </w:r>
    </w:p>
    <w:p w14:paraId="18B7B33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sz w:val="32"/>
          <w:szCs w:val="32"/>
          <w:highlight w:val="none"/>
          <w:u w:val="singl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rPr>
        <w:t>3.工程规模：</w:t>
      </w:r>
      <w:permStart w:id="22"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p>
    <w:permEnd w:id="22"/>
    <w:p w14:paraId="1A4619CF">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u w:val="single"/>
          <w:shd w:val="clear" w:color="auto" w:fill="auto"/>
          <w:lang w:bidi="zh-CN"/>
        </w:rPr>
      </w:pPr>
      <w:r>
        <w:rPr>
          <w:rFonts w:hint="eastAsia" w:ascii="仿宋_GB2312" w:hAnsi="仿宋_GB2312" w:eastAsia="仿宋_GB2312" w:cs="仿宋_GB2312"/>
          <w:color w:val="000000"/>
          <w:sz w:val="32"/>
          <w:szCs w:val="32"/>
          <w:highlight w:val="none"/>
          <w:shd w:val="clear" w:color="auto" w:fill="auto"/>
        </w:rPr>
        <w:t>4.投资金额：</w:t>
      </w:r>
      <w:permStart w:id="23"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约      </w:t>
      </w:r>
      <w:r>
        <w:rPr>
          <w:rFonts w:hint="eastAsia" w:ascii="仿宋_GB2312" w:hAnsi="仿宋_GB2312" w:eastAsia="仿宋_GB2312" w:cs="仿宋_GB2312"/>
          <w:color w:val="000000"/>
          <w:sz w:val="32"/>
          <w:szCs w:val="32"/>
          <w:highlight w:val="none"/>
          <w:u w:val="single"/>
          <w:shd w:val="clear" w:color="auto" w:fill="auto"/>
        </w:rPr>
        <w:t>万元</w:t>
      </w:r>
    </w:p>
    <w:permEnd w:id="23"/>
    <w:p w14:paraId="1EE5145F">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5.资金来源：</w:t>
      </w:r>
      <w:permStart w:id="24" w:edGrp="everyone"/>
      <w:r>
        <w:rPr>
          <w:rFonts w:hint="eastAsia" w:ascii="仿宋_GB2312" w:hAnsi="仿宋_GB2312" w:eastAsia="仿宋_GB2312" w:cs="仿宋_GB2312"/>
          <w:color w:val="000000"/>
          <w:sz w:val="32"/>
          <w:szCs w:val="32"/>
          <w:highlight w:val="none"/>
          <w:shd w:val="clear" w:color="auto" w:fill="auto"/>
        </w:rPr>
        <w:t>企业自筹</w:t>
      </w:r>
      <w:permEnd w:id="24"/>
      <w:r>
        <w:rPr>
          <w:rFonts w:hint="eastAsia" w:ascii="仿宋_GB2312" w:hAnsi="仿宋_GB2312" w:eastAsia="仿宋_GB2312" w:cs="仿宋_GB2312"/>
          <w:color w:val="000000"/>
          <w:sz w:val="32"/>
          <w:szCs w:val="32"/>
          <w:highlight w:val="none"/>
          <w:shd w:val="clear" w:color="auto" w:fill="auto"/>
        </w:rPr>
        <w:t xml:space="preserve"> </w:t>
      </w:r>
    </w:p>
    <w:p w14:paraId="52D68669">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6.其他：</w:t>
      </w:r>
      <w:permStart w:id="25" w:edGrp="everyone"/>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w:t>
      </w:r>
      <w:r>
        <w:rPr>
          <w:rFonts w:hint="eastAsia" w:ascii="仿宋_GB2312" w:hAnsi="仿宋_GB2312" w:eastAsia="仿宋_GB2312" w:cs="仿宋_GB2312"/>
          <w:color w:val="000000"/>
          <w:sz w:val="32"/>
          <w:szCs w:val="32"/>
          <w:highlight w:val="none"/>
          <w:u w:val="single"/>
          <w:shd w:val="clear" w:color="auto" w:fill="auto"/>
        </w:rPr>
        <w:t xml:space="preserve">     </w:t>
      </w:r>
      <w:permEnd w:id="25"/>
      <w:r>
        <w:rPr>
          <w:rFonts w:hint="eastAsia" w:ascii="仿宋_GB2312" w:hAnsi="仿宋_GB2312" w:eastAsia="仿宋_GB2312" w:cs="仿宋_GB2312"/>
          <w:color w:val="000000"/>
          <w:sz w:val="32"/>
          <w:szCs w:val="32"/>
          <w:highlight w:val="none"/>
          <w:shd w:val="clear" w:color="auto" w:fill="auto"/>
        </w:rPr>
        <w:t>。</w:t>
      </w:r>
      <w:bookmarkEnd w:id="3"/>
      <w:bookmarkStart w:id="6" w:name="_Toc422322472"/>
      <w:bookmarkStart w:id="7" w:name="_Toc419045059"/>
    </w:p>
    <w:p w14:paraId="7CEF924A">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rPr>
        <w:t>二、服务范围及工作内容</w:t>
      </w:r>
      <w:bookmarkEnd w:id="6"/>
      <w:bookmarkEnd w:id="7"/>
    </w:p>
    <w:p w14:paraId="401FDE62">
      <w:pPr>
        <w:keepNext w:val="0"/>
        <w:keepLines w:val="0"/>
        <w:pageBreakBefore w:val="0"/>
        <w:widowControl w:val="0"/>
        <w:tabs>
          <w:tab w:val="left" w:pos="1155"/>
        </w:tabs>
        <w:kinsoku/>
        <w:wordWrap/>
        <w:overflowPunct/>
        <w:topLinePunct w:val="0"/>
        <w:autoSpaceDE/>
        <w:autoSpaceDN/>
        <w:bidi w:val="0"/>
        <w:adjustRightInd/>
        <w:snapToGrid w:val="0"/>
        <w:spacing w:line="560" w:lineRule="exact"/>
        <w:ind w:right="-57" w:rightChars="-27"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双方约定的服务范围及工作内容：</w:t>
      </w:r>
    </w:p>
    <w:p w14:paraId="57624010">
      <w:pPr>
        <w:keepNext w:val="0"/>
        <w:keepLines w:val="0"/>
        <w:pageBreakBefore w:val="0"/>
        <w:widowControl w:val="0"/>
        <w:numPr>
          <w:ilvl w:val="0"/>
          <w:numId w:val="1"/>
        </w:numPr>
        <w:tabs>
          <w:tab w:val="left" w:pos="1155"/>
          <w:tab w:val="clear" w:pos="312"/>
        </w:tabs>
        <w:kinsoku/>
        <w:wordWrap/>
        <w:overflowPunct/>
        <w:topLinePunct w:val="0"/>
        <w:autoSpaceDE/>
        <w:autoSpaceDN/>
        <w:bidi w:val="0"/>
        <w:adjustRightInd/>
        <w:snapToGrid w:val="0"/>
        <w:spacing w:line="560" w:lineRule="exact"/>
        <w:ind w:right="-57" w:rightChars="-27" w:firstLine="640" w:firstLineChars="200"/>
        <w:textAlignment w:val="auto"/>
        <w:rPr>
          <w:rFonts w:hint="eastAsia" w:ascii="仿宋_GB2312" w:hAnsi="仿宋_GB2312" w:eastAsia="仿宋_GB2312" w:cs="仿宋_GB2312"/>
          <w:color w:val="000000"/>
          <w:sz w:val="32"/>
          <w:szCs w:val="32"/>
          <w:highlight w:val="none"/>
          <w:shd w:val="clear" w:color="auto" w:fill="auto"/>
        </w:rPr>
      </w:pPr>
      <w:permStart w:id="26" w:edGrp="everyone"/>
      <w:r>
        <w:rPr>
          <w:rFonts w:hint="eastAsia" w:ascii="仿宋_GB2312" w:hAnsi="仿宋_GB2312" w:eastAsia="仿宋_GB2312" w:cs="仿宋_GB2312"/>
          <w:color w:val="000000"/>
          <w:sz w:val="32"/>
          <w:szCs w:val="32"/>
          <w:highlight w:val="none"/>
          <w:shd w:val="clear" w:color="auto" w:fill="auto"/>
        </w:rPr>
        <w:t>招标工程量清单及控制价编制</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u w:val="none"/>
          <w:shd w:val="clear" w:color="auto" w:fill="auto"/>
        </w:rPr>
        <w:t>包含但不限于</w:t>
      </w:r>
      <w:r>
        <w:rPr>
          <w:rFonts w:hint="eastAsia" w:ascii="仿宋_GB2312" w:hAnsi="仿宋_GB2312" w:eastAsia="仿宋_GB2312" w:cs="仿宋_GB2312"/>
          <w:color w:val="000000"/>
          <w:sz w:val="32"/>
          <w:szCs w:val="32"/>
          <w:highlight w:val="none"/>
          <w:u w:val="none"/>
          <w:shd w:val="clear" w:color="auto" w:fill="auto"/>
          <w:lang w:val="en-US" w:eastAsia="zh-CN"/>
        </w:rPr>
        <w:t>施工费用</w:t>
      </w:r>
      <w:r>
        <w:rPr>
          <w:rFonts w:hint="eastAsia" w:ascii="仿宋_GB2312" w:hAnsi="仿宋_GB2312" w:eastAsia="仿宋_GB2312" w:cs="仿宋_GB2312"/>
          <w:color w:val="000000"/>
          <w:sz w:val="32"/>
          <w:szCs w:val="32"/>
          <w:highlight w:val="none"/>
          <w:u w:val="none"/>
          <w:shd w:val="clear" w:color="auto" w:fill="auto"/>
        </w:rPr>
        <w:t>、</w:t>
      </w:r>
      <w:r>
        <w:rPr>
          <w:rFonts w:hint="eastAsia" w:ascii="仿宋_GB2312" w:hAnsi="仿宋_GB2312" w:eastAsia="仿宋_GB2312" w:cs="仿宋_GB2312"/>
          <w:color w:val="000000"/>
          <w:sz w:val="32"/>
          <w:szCs w:val="32"/>
          <w:highlight w:val="none"/>
          <w:u w:val="none"/>
          <w:shd w:val="clear" w:color="auto" w:fill="auto"/>
          <w:lang w:val="en-US" w:eastAsia="zh-CN"/>
        </w:rPr>
        <w:t>暂估价、管线迁改(如需)、市政接入费、甲供材的</w:t>
      </w:r>
      <w:r>
        <w:rPr>
          <w:rFonts w:hint="eastAsia" w:ascii="仿宋_GB2312" w:hAnsi="仿宋_GB2312" w:eastAsia="仿宋_GB2312" w:cs="仿宋_GB2312"/>
          <w:color w:val="000000"/>
          <w:sz w:val="32"/>
          <w:szCs w:val="32"/>
          <w:highlight w:val="none"/>
          <w:u w:val="none"/>
          <w:shd w:val="clear" w:color="auto" w:fill="auto"/>
        </w:rPr>
        <w:t>工程量清单及控制价编制</w:t>
      </w:r>
      <w:r>
        <w:rPr>
          <w:rFonts w:hint="eastAsia" w:ascii="仿宋_GB2312" w:hAnsi="仿宋_GB2312" w:eastAsia="仿宋_GB2312" w:cs="仿宋_GB2312"/>
          <w:color w:val="000000"/>
          <w:sz w:val="32"/>
          <w:szCs w:val="32"/>
          <w:highlight w:val="none"/>
          <w:u w:val="none"/>
          <w:shd w:val="clear" w:color="auto" w:fill="auto"/>
          <w:lang w:eastAsia="zh-CN"/>
        </w:rPr>
        <w:t>，</w:t>
      </w:r>
      <w:r>
        <w:rPr>
          <w:rFonts w:hint="eastAsia" w:ascii="仿宋_GB2312" w:hAnsi="仿宋_GB2312" w:eastAsia="仿宋_GB2312" w:cs="仿宋_GB2312"/>
          <w:color w:val="000000"/>
          <w:sz w:val="32"/>
          <w:szCs w:val="32"/>
          <w:highlight w:val="none"/>
          <w:u w:val="none"/>
          <w:shd w:val="clear" w:color="auto" w:fill="auto"/>
        </w:rPr>
        <w:t>招标过程中成果文件相关的答疑</w:t>
      </w:r>
      <w:r>
        <w:rPr>
          <w:rFonts w:hint="eastAsia" w:ascii="仿宋_GB2312" w:hAnsi="仿宋_GB2312" w:eastAsia="仿宋_GB2312" w:cs="仿宋_GB2312"/>
          <w:color w:val="000000"/>
          <w:sz w:val="32"/>
          <w:szCs w:val="32"/>
          <w:highlight w:val="none"/>
          <w:u w:val="none"/>
          <w:shd w:val="clear" w:color="auto" w:fill="auto"/>
          <w:lang w:eastAsia="zh-CN"/>
        </w:rPr>
        <w:t>，</w:t>
      </w:r>
      <w:r>
        <w:rPr>
          <w:rFonts w:hint="eastAsia" w:ascii="仿宋_GB2312" w:hAnsi="仿宋_GB2312" w:eastAsia="仿宋_GB2312" w:cs="仿宋_GB2312"/>
          <w:color w:val="000000"/>
          <w:sz w:val="32"/>
          <w:szCs w:val="32"/>
          <w:highlight w:val="none"/>
          <w:u w:val="none"/>
          <w:shd w:val="clear" w:color="auto" w:fill="auto"/>
        </w:rPr>
        <w:t>协助委托人完成合同签订</w:t>
      </w:r>
      <w:r>
        <w:rPr>
          <w:rFonts w:hint="eastAsia" w:ascii="仿宋_GB2312" w:hAnsi="仿宋_GB2312" w:eastAsia="仿宋_GB2312" w:cs="仿宋_GB2312"/>
          <w:color w:val="000000"/>
          <w:sz w:val="32"/>
          <w:szCs w:val="32"/>
          <w:highlight w:val="none"/>
          <w:u w:val="none"/>
          <w:shd w:val="clear" w:color="auto" w:fill="auto"/>
          <w:lang w:val="en-US" w:eastAsia="zh-CN"/>
        </w:rPr>
        <w:t>、</w:t>
      </w:r>
      <w:r>
        <w:rPr>
          <w:rFonts w:hint="eastAsia" w:ascii="仿宋_GB2312" w:hAnsi="仿宋_GB2312" w:eastAsia="仿宋_GB2312" w:cs="仿宋_GB2312"/>
          <w:color w:val="000000"/>
          <w:sz w:val="32"/>
          <w:szCs w:val="32"/>
          <w:highlight w:val="none"/>
          <w:u w:val="none"/>
          <w:shd w:val="clear" w:color="auto" w:fill="auto"/>
        </w:rPr>
        <w:t>投标报价分析等相关工作。</w:t>
      </w:r>
      <w:permEnd w:id="26"/>
    </w:p>
    <w:p w14:paraId="7161F0ED">
      <w:pPr>
        <w:keepNext w:val="0"/>
        <w:keepLines w:val="0"/>
        <w:pageBreakBefore w:val="0"/>
        <w:widowControl w:val="0"/>
        <w:numPr>
          <w:ilvl w:val="0"/>
          <w:numId w:val="1"/>
        </w:numPr>
        <w:tabs>
          <w:tab w:val="left" w:pos="1155"/>
          <w:tab w:val="clear" w:pos="312"/>
        </w:tabs>
        <w:kinsoku/>
        <w:wordWrap/>
        <w:overflowPunct/>
        <w:topLinePunct w:val="0"/>
        <w:autoSpaceDE/>
        <w:autoSpaceDN/>
        <w:bidi w:val="0"/>
        <w:adjustRightInd/>
        <w:snapToGrid w:val="0"/>
        <w:spacing w:line="560" w:lineRule="exact"/>
        <w:ind w:right="-57" w:rightChars="-27" w:firstLine="640" w:firstLineChars="200"/>
        <w:textAlignment w:val="auto"/>
        <w:rPr>
          <w:rFonts w:hint="eastAsia" w:ascii="仿宋_GB2312" w:hAnsi="仿宋_GB2312" w:eastAsia="仿宋_GB2312" w:cs="仿宋_GB2312"/>
          <w:color w:val="000000"/>
          <w:sz w:val="32"/>
          <w:szCs w:val="32"/>
          <w:highlight w:val="none"/>
          <w:shd w:val="clear" w:color="auto" w:fill="auto"/>
        </w:rPr>
      </w:pPr>
      <w:permStart w:id="27" w:edGrp="everyone"/>
      <w:r>
        <w:rPr>
          <w:rFonts w:hint="eastAsia" w:ascii="仿宋_GB2312" w:hAnsi="仿宋_GB2312" w:eastAsia="仿宋_GB2312" w:cs="仿宋_GB2312"/>
          <w:color w:val="000000"/>
          <w:sz w:val="32"/>
          <w:szCs w:val="32"/>
          <w:highlight w:val="none"/>
          <w:shd w:val="clear" w:color="auto" w:fill="auto"/>
          <w:lang w:val="en-US" w:eastAsia="zh-CN"/>
        </w:rPr>
        <w:t>配合</w:t>
      </w:r>
      <w:r>
        <w:rPr>
          <w:rFonts w:hint="eastAsia" w:ascii="仿宋_GB2312" w:hAnsi="仿宋_GB2312" w:eastAsia="仿宋_GB2312" w:cs="仿宋_GB2312"/>
          <w:color w:val="000000"/>
          <w:sz w:val="32"/>
          <w:szCs w:val="32"/>
          <w:highlight w:val="none"/>
          <w:shd w:val="clear" w:color="auto" w:fill="auto"/>
        </w:rPr>
        <w:t>项目后评估工作；协助发包人完成该项目成本数据库的建立。</w:t>
      </w:r>
    </w:p>
    <w:p w14:paraId="69AF8BA3">
      <w:pPr>
        <w:keepNext w:val="0"/>
        <w:keepLines w:val="0"/>
        <w:pageBreakBefore w:val="0"/>
        <w:widowControl w:val="0"/>
        <w:numPr>
          <w:ilvl w:val="0"/>
          <w:numId w:val="1"/>
        </w:numPr>
        <w:tabs>
          <w:tab w:val="left" w:pos="1155"/>
          <w:tab w:val="clear" w:pos="312"/>
        </w:tabs>
        <w:kinsoku/>
        <w:wordWrap/>
        <w:overflowPunct/>
        <w:topLinePunct w:val="0"/>
        <w:autoSpaceDE/>
        <w:autoSpaceDN/>
        <w:bidi w:val="0"/>
        <w:adjustRightInd/>
        <w:snapToGrid w:val="0"/>
        <w:spacing w:line="560" w:lineRule="exact"/>
        <w:ind w:right="-57" w:rightChars="-27"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配合委托人及其上级单位</w:t>
      </w:r>
      <w:r>
        <w:rPr>
          <w:rFonts w:hint="eastAsia" w:ascii="仿宋_GB2312" w:hAnsi="仿宋_GB2312" w:eastAsia="仿宋_GB2312" w:cs="仿宋_GB2312"/>
          <w:color w:val="000000"/>
          <w:sz w:val="32"/>
          <w:szCs w:val="32"/>
          <w:highlight w:val="none"/>
          <w:shd w:val="clear" w:color="auto" w:fill="auto"/>
          <w:lang w:val="en-US" w:eastAsia="zh-CN"/>
        </w:rPr>
        <w:t>完成</w:t>
      </w:r>
      <w:r>
        <w:rPr>
          <w:rFonts w:hint="eastAsia" w:ascii="仿宋_GB2312" w:hAnsi="仿宋_GB2312" w:eastAsia="仿宋_GB2312" w:cs="仿宋_GB2312"/>
          <w:color w:val="000000"/>
          <w:sz w:val="32"/>
          <w:szCs w:val="32"/>
          <w:highlight w:val="none"/>
          <w:shd w:val="clear" w:color="auto" w:fill="auto"/>
        </w:rPr>
        <w:t>审计的相关</w:t>
      </w:r>
      <w:r>
        <w:rPr>
          <w:rFonts w:hint="eastAsia" w:ascii="仿宋_GB2312" w:hAnsi="仿宋_GB2312" w:eastAsia="仿宋_GB2312" w:cs="仿宋_GB2312"/>
          <w:color w:val="000000"/>
          <w:sz w:val="32"/>
          <w:szCs w:val="32"/>
          <w:highlight w:val="none"/>
          <w:shd w:val="clear" w:color="auto" w:fill="auto"/>
          <w:lang w:val="en-US" w:eastAsia="zh-CN"/>
        </w:rPr>
        <w:t>工作</w:t>
      </w:r>
      <w:r>
        <w:rPr>
          <w:rFonts w:hint="eastAsia" w:ascii="仿宋_GB2312" w:hAnsi="仿宋_GB2312" w:eastAsia="仿宋_GB2312" w:cs="仿宋_GB2312"/>
          <w:color w:val="000000"/>
          <w:sz w:val="32"/>
          <w:szCs w:val="32"/>
          <w:highlight w:val="none"/>
          <w:shd w:val="clear" w:color="auto" w:fill="auto"/>
        </w:rPr>
        <w:t>。</w:t>
      </w:r>
    </w:p>
    <w:p w14:paraId="2FB0F1C4">
      <w:pPr>
        <w:keepNext w:val="0"/>
        <w:keepLines w:val="0"/>
        <w:pageBreakBefore w:val="0"/>
        <w:widowControl w:val="0"/>
        <w:tabs>
          <w:tab w:val="left" w:pos="1155"/>
        </w:tabs>
        <w:kinsoku/>
        <w:wordWrap/>
        <w:overflowPunct/>
        <w:topLinePunct w:val="0"/>
        <w:autoSpaceDE/>
        <w:autoSpaceDN/>
        <w:bidi w:val="0"/>
        <w:adjustRightInd/>
        <w:snapToGrid w:val="0"/>
        <w:spacing w:line="560" w:lineRule="exact"/>
        <w:ind w:right="-57" w:rightChars="-27"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（具体详见合同附录A）。</w:t>
      </w:r>
      <w:permEnd w:id="27"/>
    </w:p>
    <w:p w14:paraId="2BAD44F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bookmarkStart w:id="8" w:name="_Toc422322473"/>
      <w:bookmarkStart w:id="9" w:name="_Toc419045060"/>
      <w:bookmarkStart w:id="10" w:name="9"/>
      <w:r>
        <w:rPr>
          <w:rFonts w:hint="eastAsia" w:ascii="黑体" w:hAnsi="黑体" w:eastAsia="黑体" w:cs="黑体"/>
          <w:b w:val="0"/>
          <w:bCs w:val="0"/>
          <w:color w:val="000000"/>
          <w:sz w:val="32"/>
          <w:szCs w:val="32"/>
          <w:highlight w:val="none"/>
          <w:shd w:val="clear" w:color="auto" w:fill="auto"/>
        </w:rPr>
        <w:t>三、服务期限</w:t>
      </w:r>
      <w:bookmarkEnd w:id="8"/>
      <w:bookmarkEnd w:id="9"/>
    </w:p>
    <w:bookmarkEnd w:id="10"/>
    <w:p w14:paraId="02C05EDB">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11" w:name="_Toc422322474"/>
      <w:bookmarkStart w:id="12" w:name="_Toc419045061"/>
      <w:permStart w:id="28" w:edGrp="everyone"/>
      <w:r>
        <w:rPr>
          <w:rFonts w:hint="eastAsia" w:ascii="仿宋_GB2312" w:hAnsi="仿宋_GB2312" w:eastAsia="仿宋_GB2312" w:cs="仿宋_GB2312"/>
          <w:color w:val="000000"/>
          <w:sz w:val="32"/>
          <w:szCs w:val="32"/>
          <w:highlight w:val="none"/>
          <w:shd w:val="clear" w:color="auto" w:fill="auto"/>
        </w:rPr>
        <w:t>依据实际</w:t>
      </w:r>
      <w:r>
        <w:rPr>
          <w:rFonts w:hint="eastAsia" w:ascii="仿宋_GB2312" w:hAnsi="仿宋_GB2312" w:eastAsia="仿宋_GB2312" w:cs="仿宋_GB2312"/>
          <w:color w:val="000000"/>
          <w:sz w:val="32"/>
          <w:szCs w:val="32"/>
          <w:highlight w:val="none"/>
          <w:shd w:val="clear" w:color="auto" w:fill="auto"/>
          <w:lang w:val="en-US" w:eastAsia="zh-CN"/>
        </w:rPr>
        <w:t>结算</w:t>
      </w:r>
      <w:r>
        <w:rPr>
          <w:rFonts w:hint="eastAsia" w:ascii="仿宋_GB2312" w:hAnsi="仿宋_GB2312" w:eastAsia="仿宋_GB2312" w:cs="仿宋_GB2312"/>
          <w:color w:val="000000"/>
          <w:sz w:val="32"/>
          <w:szCs w:val="32"/>
          <w:highlight w:val="none"/>
          <w:shd w:val="clear" w:color="auto" w:fill="auto"/>
        </w:rPr>
        <w:t>进度同步进行</w:t>
      </w:r>
    </w:p>
    <w:permEnd w:id="28"/>
    <w:p w14:paraId="4CA847E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r>
        <w:rPr>
          <w:rFonts w:hint="eastAsia" w:ascii="黑体" w:hAnsi="黑体" w:eastAsia="黑体" w:cs="黑体"/>
          <w:b w:val="0"/>
          <w:bCs w:val="0"/>
          <w:color w:val="000000"/>
          <w:sz w:val="32"/>
          <w:szCs w:val="32"/>
          <w:highlight w:val="none"/>
          <w:shd w:val="clear" w:color="auto" w:fill="auto"/>
        </w:rPr>
        <w:t>四、质量标准</w:t>
      </w:r>
      <w:bookmarkEnd w:id="11"/>
      <w:bookmarkEnd w:id="12"/>
    </w:p>
    <w:p w14:paraId="4A92FEF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工程造价咨询成果文件应符合：</w:t>
      </w:r>
    </w:p>
    <w:p w14:paraId="3D6543FA">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ascii="仿宋" w:hAnsi="仿宋" w:eastAsia="仿宋"/>
          <w:color w:val="000000"/>
          <w:sz w:val="28"/>
          <w:szCs w:val="28"/>
          <w:highlight w:val="none"/>
          <w:shd w:val="clear" w:color="auto" w:fill="auto"/>
        </w:rPr>
      </w:pPr>
      <w:r>
        <w:rPr>
          <w:rFonts w:hint="eastAsia" w:ascii="仿宋_GB2312" w:hAnsi="仿宋_GB2312" w:eastAsia="仿宋_GB2312" w:cs="仿宋_GB2312"/>
          <w:color w:val="000000"/>
          <w:sz w:val="32"/>
          <w:szCs w:val="32"/>
          <w:highlight w:val="none"/>
          <w:u w:val="single"/>
          <w:shd w:val="clear" w:color="auto" w:fill="auto"/>
        </w:rPr>
        <w:t>（1）海南省现行工程计价定额；</w:t>
      </w:r>
      <w:r>
        <w:rPr>
          <w:rFonts w:hint="eastAsia" w:ascii="仿宋_GB2312" w:hAnsi="仿宋_GB2312" w:eastAsia="仿宋_GB2312" w:cs="仿宋_GB2312"/>
          <w:color w:val="000000"/>
          <w:sz w:val="32"/>
          <w:szCs w:val="32"/>
          <w:highlight w:val="none"/>
          <w:u w:val="single"/>
          <w:shd w:val="clear" w:color="auto" w:fill="auto"/>
          <w:lang w:eastAsia="zh-CN"/>
        </w:rPr>
        <w:t>（</w:t>
      </w:r>
      <w:r>
        <w:rPr>
          <w:rFonts w:hint="eastAsia" w:ascii="仿宋_GB2312" w:hAnsi="仿宋_GB2312" w:eastAsia="仿宋_GB2312" w:cs="仿宋_GB2312"/>
          <w:color w:val="000000"/>
          <w:sz w:val="32"/>
          <w:szCs w:val="32"/>
          <w:highlight w:val="none"/>
          <w:u w:val="single"/>
          <w:shd w:val="clear" w:color="auto" w:fill="auto"/>
          <w:lang w:val="en-US" w:eastAsia="zh-CN"/>
        </w:rPr>
        <w:t>2</w:t>
      </w:r>
      <w:r>
        <w:rPr>
          <w:rFonts w:hint="eastAsia" w:ascii="仿宋_GB2312" w:hAnsi="仿宋_GB2312" w:eastAsia="仿宋_GB2312" w:cs="仿宋_GB2312"/>
          <w:color w:val="000000"/>
          <w:sz w:val="32"/>
          <w:szCs w:val="32"/>
          <w:highlight w:val="none"/>
          <w:u w:val="single"/>
          <w:shd w:val="clear" w:color="auto" w:fill="auto"/>
          <w:lang w:eastAsia="zh-CN"/>
        </w:rPr>
        <w:t>）</w:t>
      </w:r>
      <w:r>
        <w:rPr>
          <w:rFonts w:hint="eastAsia" w:ascii="仿宋_GB2312" w:hAnsi="仿宋_GB2312" w:eastAsia="仿宋_GB2312" w:cs="仿宋_GB2312"/>
          <w:color w:val="000000"/>
          <w:sz w:val="32"/>
          <w:szCs w:val="32"/>
          <w:highlight w:val="none"/>
          <w:u w:val="single"/>
          <w:shd w:val="clear" w:color="auto" w:fill="auto"/>
          <w:lang w:val="en-US" w:eastAsia="zh-CN"/>
        </w:rPr>
        <w:t>其他现行行业定额；</w:t>
      </w:r>
      <w:r>
        <w:rPr>
          <w:rFonts w:hint="eastAsia" w:ascii="仿宋_GB2312" w:hAnsi="仿宋_GB2312" w:eastAsia="仿宋_GB2312" w:cs="仿宋_GB2312"/>
          <w:color w:val="000000"/>
          <w:sz w:val="32"/>
          <w:szCs w:val="32"/>
          <w:highlight w:val="none"/>
          <w:u w:val="single"/>
          <w:shd w:val="clear" w:color="auto" w:fill="auto"/>
        </w:rPr>
        <w:t>（</w:t>
      </w:r>
      <w:r>
        <w:rPr>
          <w:rFonts w:hint="eastAsia" w:ascii="仿宋_GB2312" w:hAnsi="仿宋_GB2312" w:eastAsia="仿宋_GB2312" w:cs="仿宋_GB2312"/>
          <w:color w:val="000000"/>
          <w:sz w:val="32"/>
          <w:szCs w:val="32"/>
          <w:highlight w:val="none"/>
          <w:u w:val="single"/>
          <w:shd w:val="clear" w:color="auto" w:fill="auto"/>
          <w:lang w:val="en-US" w:eastAsia="zh-CN"/>
        </w:rPr>
        <w:t>3</w:t>
      </w:r>
      <w:r>
        <w:rPr>
          <w:rFonts w:hint="eastAsia" w:ascii="仿宋_GB2312" w:hAnsi="仿宋_GB2312" w:eastAsia="仿宋_GB2312" w:cs="仿宋_GB2312"/>
          <w:color w:val="000000"/>
          <w:sz w:val="32"/>
          <w:szCs w:val="32"/>
          <w:highlight w:val="none"/>
          <w:u w:val="single"/>
          <w:shd w:val="clear" w:color="auto" w:fill="auto"/>
        </w:rPr>
        <w:t>）《海南工程造价信息》；（</w:t>
      </w:r>
      <w:r>
        <w:rPr>
          <w:rFonts w:hint="eastAsia" w:ascii="仿宋_GB2312" w:hAnsi="仿宋_GB2312" w:eastAsia="仿宋_GB2312" w:cs="仿宋_GB2312"/>
          <w:color w:val="000000"/>
          <w:sz w:val="32"/>
          <w:szCs w:val="32"/>
          <w:highlight w:val="none"/>
          <w:u w:val="single"/>
          <w:shd w:val="clear" w:color="auto" w:fill="auto"/>
          <w:lang w:val="en-US" w:eastAsia="zh-CN"/>
        </w:rPr>
        <w:t>4</w:t>
      </w:r>
      <w:r>
        <w:rPr>
          <w:rFonts w:hint="eastAsia" w:ascii="仿宋_GB2312" w:hAnsi="仿宋_GB2312" w:eastAsia="仿宋_GB2312" w:cs="仿宋_GB2312"/>
          <w:color w:val="000000"/>
          <w:sz w:val="32"/>
          <w:szCs w:val="32"/>
          <w:highlight w:val="none"/>
          <w:u w:val="single"/>
          <w:shd w:val="clear" w:color="auto" w:fill="auto"/>
        </w:rPr>
        <w:t>）海南省、海口市造价管理部门发布的其他与工程造价相关的文件</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u w:val="single"/>
          <w:shd w:val="clear" w:color="auto" w:fill="auto"/>
        </w:rPr>
        <w:t>以及国家</w:t>
      </w:r>
      <w:r>
        <w:rPr>
          <w:rFonts w:hint="eastAsia" w:ascii="仿宋_GB2312" w:hAnsi="仿宋_GB2312" w:eastAsia="仿宋_GB2312" w:cs="仿宋_GB2312"/>
          <w:color w:val="000000"/>
          <w:sz w:val="32"/>
          <w:szCs w:val="32"/>
          <w:highlight w:val="none"/>
          <w:u w:val="single"/>
          <w:shd w:val="clear" w:color="auto" w:fill="auto"/>
          <w:lang w:eastAsia="zh-CN"/>
        </w:rPr>
        <w:t>、</w:t>
      </w:r>
      <w:r>
        <w:rPr>
          <w:rFonts w:hint="eastAsia" w:ascii="仿宋_GB2312" w:hAnsi="仿宋_GB2312" w:eastAsia="仿宋_GB2312" w:cs="仿宋_GB2312"/>
          <w:color w:val="000000"/>
          <w:sz w:val="32"/>
          <w:szCs w:val="32"/>
          <w:highlight w:val="none"/>
          <w:u w:val="single"/>
          <w:shd w:val="clear" w:color="auto" w:fill="auto"/>
        </w:rPr>
        <w:t>地方</w:t>
      </w:r>
      <w:r>
        <w:rPr>
          <w:rFonts w:hint="eastAsia" w:ascii="仿宋_GB2312" w:hAnsi="仿宋_GB2312" w:eastAsia="仿宋_GB2312" w:cs="仿宋_GB2312"/>
          <w:color w:val="000000"/>
          <w:sz w:val="32"/>
          <w:szCs w:val="32"/>
          <w:highlight w:val="none"/>
          <w:u w:val="single"/>
          <w:shd w:val="clear" w:color="auto" w:fill="auto"/>
          <w:lang w:val="en-US" w:eastAsia="zh-CN"/>
        </w:rPr>
        <w:t>及行业主管部门颁布的</w:t>
      </w:r>
      <w:r>
        <w:rPr>
          <w:rFonts w:hint="eastAsia" w:ascii="仿宋_GB2312" w:hAnsi="仿宋_GB2312" w:eastAsia="仿宋_GB2312" w:cs="仿宋_GB2312"/>
          <w:color w:val="000000"/>
          <w:sz w:val="32"/>
          <w:szCs w:val="32"/>
          <w:highlight w:val="none"/>
          <w:u w:val="single"/>
          <w:shd w:val="clear" w:color="auto" w:fill="auto"/>
        </w:rPr>
        <w:t>有关建设项目工程概算、施工图预算、工程量清单及控制价编制、施工阶段全过程咨询、工程结算及其他与本合同项下工程咨询专业工作有关的其他管理法规、规章、规范及规范性文件等</w:t>
      </w:r>
      <w:r>
        <w:rPr>
          <w:rFonts w:hint="eastAsia" w:ascii="仿宋_GB2312" w:hAnsi="仿宋_GB2312" w:eastAsia="仿宋_GB2312" w:cs="仿宋_GB2312"/>
          <w:color w:val="000000"/>
          <w:sz w:val="32"/>
          <w:szCs w:val="32"/>
          <w:highlight w:val="none"/>
          <w:shd w:val="clear" w:color="auto" w:fill="auto"/>
        </w:rPr>
        <w:t>。</w:t>
      </w:r>
      <w:bookmarkStart w:id="13" w:name="_Toc422322475"/>
      <w:bookmarkStart w:id="14" w:name="_Toc419045062"/>
    </w:p>
    <w:bookmarkEnd w:id="13"/>
    <w:bookmarkEnd w:id="14"/>
    <w:p w14:paraId="5258D34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黑体" w:hAnsi="黑体" w:eastAsia="黑体" w:cs="黑体"/>
          <w:b w:val="0"/>
          <w:bCs w:val="0"/>
          <w:color w:val="000000"/>
          <w:sz w:val="32"/>
          <w:szCs w:val="32"/>
          <w:highlight w:val="none"/>
          <w:shd w:val="clear" w:color="auto" w:fill="auto"/>
          <w:lang w:val="en-US" w:eastAsia="zh-CN"/>
        </w:rPr>
      </w:pPr>
      <w:r>
        <w:rPr>
          <w:rFonts w:hint="eastAsia" w:ascii="黑体" w:hAnsi="黑体" w:eastAsia="黑体" w:cs="黑体"/>
          <w:b w:val="0"/>
          <w:bCs w:val="0"/>
          <w:color w:val="000000"/>
          <w:sz w:val="32"/>
          <w:szCs w:val="32"/>
          <w:highlight w:val="none"/>
          <w:shd w:val="clear" w:color="auto" w:fill="auto"/>
        </w:rPr>
        <w:t>五、合同</w:t>
      </w:r>
      <w:r>
        <w:rPr>
          <w:rFonts w:hint="eastAsia" w:ascii="黑体" w:hAnsi="黑体" w:eastAsia="黑体" w:cs="黑体"/>
          <w:b w:val="0"/>
          <w:bCs w:val="0"/>
          <w:color w:val="000000"/>
          <w:sz w:val="32"/>
          <w:szCs w:val="32"/>
          <w:highlight w:val="none"/>
          <w:shd w:val="clear" w:color="auto" w:fill="auto"/>
          <w:lang w:val="en-US" w:eastAsia="zh-CN"/>
        </w:rPr>
        <w:t>价格与支付方式</w:t>
      </w:r>
    </w:p>
    <w:p w14:paraId="23664261">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shd w:val="clear" w:color="auto" w:fill="auto"/>
          <w:lang w:eastAsia="zh-CN"/>
        </w:rPr>
        <w:t>1.签约合同价暂定为：含税人民币（大写）</w:t>
      </w:r>
      <w:r>
        <w:rPr>
          <w:rFonts w:hint="eastAsia" w:ascii="仿宋_GB2312" w:hAnsi="仿宋_GB2312" w:eastAsia="仿宋_GB2312" w:cs="仿宋_GB2312"/>
          <w:color w:val="000000"/>
          <w:sz w:val="32"/>
          <w:szCs w:val="32"/>
          <w:highlight w:val="none"/>
          <w:shd w:val="clear" w:color="auto" w:fill="auto"/>
          <w:lang w:val="en-US" w:eastAsia="zh-CN"/>
        </w:rPr>
        <w:t xml:space="preserve"> </w:t>
      </w:r>
      <w:permStart w:id="29"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29"/>
      <w:r>
        <w:rPr>
          <w:rFonts w:hint="eastAsia" w:ascii="仿宋_GB2312" w:hAnsi="仿宋_GB2312" w:eastAsia="仿宋_GB2312" w:cs="仿宋_GB2312"/>
          <w:color w:val="000000"/>
          <w:sz w:val="32"/>
          <w:szCs w:val="32"/>
          <w:highlight w:val="none"/>
          <w:shd w:val="clear" w:color="auto" w:fill="auto"/>
          <w:lang w:eastAsia="zh-CN"/>
        </w:rPr>
        <w:t>（¥</w:t>
      </w:r>
      <w:permStart w:id="30"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30"/>
      <w:r>
        <w:rPr>
          <w:rFonts w:hint="eastAsia" w:ascii="仿宋_GB2312" w:hAnsi="仿宋_GB2312" w:eastAsia="仿宋_GB2312" w:cs="仿宋_GB2312"/>
          <w:color w:val="000000"/>
          <w:sz w:val="32"/>
          <w:szCs w:val="32"/>
          <w:highlight w:val="none"/>
          <w:shd w:val="clear" w:color="auto" w:fill="auto"/>
          <w:lang w:eastAsia="zh-CN"/>
        </w:rPr>
        <w:t>元），不含税价为人民币（大写）</w:t>
      </w:r>
      <w:permStart w:id="31"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31"/>
      <w:r>
        <w:rPr>
          <w:rFonts w:hint="eastAsia" w:ascii="仿宋_GB2312" w:hAnsi="仿宋_GB2312" w:eastAsia="仿宋_GB2312" w:cs="仿宋_GB2312"/>
          <w:color w:val="000000"/>
          <w:sz w:val="32"/>
          <w:szCs w:val="32"/>
          <w:highlight w:val="none"/>
          <w:shd w:val="clear" w:color="auto" w:fill="auto"/>
          <w:lang w:eastAsia="zh-CN"/>
        </w:rPr>
        <w:t>（¥</w:t>
      </w:r>
      <w:permStart w:id="32" w:edGrp="everyone"/>
      <w:r>
        <w:rPr>
          <w:rFonts w:hint="eastAsia" w:ascii="仿宋_GB2312" w:hAnsi="仿宋_GB2312" w:eastAsia="仿宋_GB2312" w:cs="仿宋_GB2312"/>
          <w:color w:val="000000"/>
          <w:sz w:val="32"/>
          <w:szCs w:val="32"/>
          <w:highlight w:val="none"/>
          <w:shd w:val="clear" w:color="auto" w:fill="auto"/>
          <w:lang w:eastAsia="zh-CN"/>
        </w:rPr>
        <w:t xml:space="preserve"> </w:t>
      </w:r>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32"/>
      <w:r>
        <w:rPr>
          <w:rFonts w:hint="eastAsia" w:ascii="仿宋_GB2312" w:hAnsi="仿宋_GB2312" w:eastAsia="仿宋_GB2312" w:cs="仿宋_GB2312"/>
          <w:color w:val="000000"/>
          <w:sz w:val="32"/>
          <w:szCs w:val="32"/>
          <w:highlight w:val="none"/>
          <w:shd w:val="clear" w:color="auto" w:fill="auto"/>
          <w:lang w:eastAsia="zh-CN"/>
        </w:rPr>
        <w:t>元），税率</w:t>
      </w:r>
      <w:permStart w:id="33" w:edGrp="everyone"/>
      <w:r>
        <w:rPr>
          <w:rFonts w:hint="eastAsia" w:ascii="仿宋_GB2312" w:hAnsi="仿宋_GB2312" w:eastAsia="仿宋_GB2312" w:cs="仿宋_GB2312"/>
          <w:color w:val="000000"/>
          <w:sz w:val="32"/>
          <w:szCs w:val="32"/>
          <w:highlight w:val="none"/>
          <w:shd w:val="clear" w:color="auto" w:fill="auto"/>
          <w:lang w:eastAsia="zh-CN"/>
        </w:rPr>
        <w:t xml:space="preserve"> </w:t>
      </w:r>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33"/>
      <w:r>
        <w:rPr>
          <w:rFonts w:hint="eastAsia" w:ascii="仿宋_GB2312" w:hAnsi="仿宋_GB2312" w:eastAsia="仿宋_GB2312" w:cs="仿宋_GB2312"/>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lang w:eastAsia="zh-CN"/>
        </w:rPr>
        <w:t xml:space="preserve"> 。以上合同价格均已包含咨询人为完成本项目服务范围而产生的来回差旅、邮递、通讯、文件编印、服务人员及包含驻场人员等一切费用及税费；钢筋抽样费用包含在上述费用中，不另行计取。除双方另有约定外，委托方不再另行支付任何其他费用。（</w:t>
      </w:r>
      <w:r>
        <w:rPr>
          <w:rFonts w:hint="eastAsia" w:ascii="仿宋_GB2312" w:hAnsi="仿宋_GB2312" w:eastAsia="仿宋_GB2312" w:cs="仿宋_GB2312"/>
          <w:color w:val="000000"/>
          <w:sz w:val="32"/>
          <w:szCs w:val="32"/>
          <w:highlight w:val="none"/>
          <w:shd w:val="clear" w:color="auto" w:fill="auto"/>
          <w:lang w:val="en-US" w:eastAsia="zh-CN"/>
        </w:rPr>
        <w:t>注：</w:t>
      </w:r>
      <w:r>
        <w:rPr>
          <w:rFonts w:hint="eastAsia" w:ascii="仿宋_GB2312" w:hAnsi="仿宋_GB2312" w:eastAsia="仿宋_GB2312" w:cs="仿宋_GB2312"/>
          <w:color w:val="000000"/>
          <w:sz w:val="32"/>
          <w:szCs w:val="32"/>
          <w:highlight w:val="none"/>
          <w:shd w:val="clear" w:color="auto" w:fill="auto"/>
          <w:lang w:eastAsia="zh-CN"/>
        </w:rPr>
        <w:t>经双方知悉并确认，如因政府资金未及时拨付等原因造成付款逾期的，本合同价款已包含逾期付款补偿及相关逾期责任，委托人无需另行支付）</w:t>
      </w:r>
    </w:p>
    <w:p w14:paraId="75159D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2.支付方式：</w:t>
      </w:r>
      <w:r>
        <w:rPr>
          <w:rFonts w:hint="eastAsia" w:ascii="仿宋_GB2312" w:hAnsi="仿宋_GB2312" w:eastAsia="仿宋_GB2312" w:cs="仿宋_GB2312"/>
          <w:color w:val="000000"/>
          <w:sz w:val="32"/>
          <w:szCs w:val="32"/>
          <w:highlight w:val="none"/>
          <w:shd w:val="clear" w:color="auto" w:fill="auto"/>
        </w:rPr>
        <w:t>正常工作酬金的支付：</w:t>
      </w:r>
    </w:p>
    <w:p w14:paraId="20EA3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【预付款】</w:t>
      </w:r>
      <w:r>
        <w:rPr>
          <w:rFonts w:hint="eastAsia" w:ascii="仿宋_GB2312" w:hAnsi="仿宋_GB2312" w:eastAsia="仿宋_GB2312" w:cs="仿宋_GB2312"/>
          <w:color w:val="000000"/>
          <w:sz w:val="32"/>
          <w:szCs w:val="32"/>
          <w:highlight w:val="none"/>
          <w:shd w:val="clear" w:color="auto" w:fill="auto"/>
        </w:rPr>
        <w:t>按照如下第（</w:t>
      </w:r>
      <w:permStart w:id="34" w:edGrp="everyone"/>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permEnd w:id="34"/>
      <w:r>
        <w:rPr>
          <w:rFonts w:hint="eastAsia" w:ascii="仿宋_GB2312" w:hAnsi="仿宋_GB2312" w:eastAsia="仿宋_GB2312" w:cs="仿宋_GB2312"/>
          <w:color w:val="000000"/>
          <w:sz w:val="32"/>
          <w:szCs w:val="32"/>
          <w:highlight w:val="none"/>
          <w:shd w:val="clear" w:color="auto" w:fill="auto"/>
        </w:rPr>
        <w:t>）种方式进行</w:t>
      </w:r>
      <w:r>
        <w:rPr>
          <w:rFonts w:hint="eastAsia" w:ascii="仿宋_GB2312" w:hAnsi="仿宋_GB2312" w:eastAsia="仿宋_GB2312" w:cs="仿宋_GB2312"/>
          <w:color w:val="000000"/>
          <w:sz w:val="32"/>
          <w:szCs w:val="32"/>
          <w:highlight w:val="none"/>
          <w:shd w:val="clear" w:color="auto" w:fill="auto"/>
          <w:lang w:eastAsia="zh-CN"/>
        </w:rPr>
        <w:t>：</w:t>
      </w:r>
    </w:p>
    <w:p w14:paraId="36094F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①本合同</w:t>
      </w:r>
      <w:r>
        <w:rPr>
          <w:rFonts w:hint="eastAsia" w:ascii="仿宋_GB2312" w:hAnsi="仿宋_GB2312" w:eastAsia="仿宋_GB2312" w:cs="仿宋_GB2312"/>
          <w:color w:val="000000"/>
          <w:sz w:val="32"/>
          <w:szCs w:val="32"/>
          <w:highlight w:val="none"/>
          <w:shd w:val="clear" w:color="auto" w:fill="auto"/>
        </w:rPr>
        <w:t>无预付款</w:t>
      </w:r>
    </w:p>
    <w:p w14:paraId="5C2D95D4">
      <w:pPr>
        <w:pageBreakBefore w:val="0"/>
        <w:widowControl w:val="0"/>
        <w:kinsoku/>
        <w:wordWrap/>
        <w:overflowPunct/>
        <w:topLinePunct w:val="0"/>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②</w:t>
      </w:r>
      <w:r>
        <w:rPr>
          <w:rFonts w:hint="eastAsia" w:ascii="仿宋_GB2312" w:hAnsi="仿宋_GB2312" w:eastAsia="仿宋_GB2312" w:cs="仿宋_GB2312"/>
          <w:color w:val="000000"/>
          <w:sz w:val="32"/>
          <w:szCs w:val="32"/>
          <w:highlight w:val="none"/>
          <w:shd w:val="clear" w:color="auto" w:fill="auto"/>
        </w:rPr>
        <w:t>合同签订且</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向发包人提交履约担保（如需）后由</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请款并经发包人同意后，30个工作日内发包人向</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支付合同价的20%作为预付款。</w:t>
      </w:r>
    </w:p>
    <w:p w14:paraId="671049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（2）【进度款】</w:t>
      </w:r>
    </w:p>
    <w:p w14:paraId="33C406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咨询人出具正式工程量清单及控制价报告、提交履约担保（如需）</w:t>
      </w:r>
      <w:r>
        <w:rPr>
          <w:rFonts w:hint="eastAsia" w:ascii="仿宋_GB2312" w:hAnsi="仿宋_GB2312" w:eastAsia="仿宋_GB2312" w:cs="仿宋_GB2312"/>
          <w:color w:val="000000"/>
          <w:sz w:val="32"/>
          <w:szCs w:val="32"/>
          <w:highlight w:val="none"/>
          <w:shd w:val="clear" w:color="auto" w:fill="auto"/>
          <w:lang w:val="en-US" w:eastAsia="zh-CN"/>
        </w:rPr>
        <w:t>后的</w:t>
      </w:r>
      <w:r>
        <w:rPr>
          <w:rFonts w:hint="eastAsia" w:ascii="仿宋_GB2312" w:hAnsi="仿宋_GB2312" w:eastAsia="仿宋_GB2312" w:cs="仿宋_GB2312"/>
          <w:color w:val="000000"/>
          <w:sz w:val="32"/>
          <w:szCs w:val="32"/>
          <w:highlight w:val="none"/>
          <w:shd w:val="clear" w:color="auto" w:fill="auto"/>
        </w:rPr>
        <w:t>40个工作日内，支付工程量清单及控制价编制费暂定</w:t>
      </w:r>
      <w:r>
        <w:rPr>
          <w:rFonts w:hint="eastAsia" w:ascii="仿宋_GB2312" w:hAnsi="仿宋_GB2312" w:eastAsia="仿宋_GB2312" w:cs="仿宋_GB2312"/>
          <w:color w:val="000000"/>
          <w:sz w:val="32"/>
          <w:szCs w:val="32"/>
          <w:highlight w:val="none"/>
          <w:shd w:val="clear" w:color="auto" w:fill="auto"/>
          <w:lang w:val="en-US" w:eastAsia="zh-CN"/>
        </w:rPr>
        <w:t>签约</w:t>
      </w:r>
      <w:r>
        <w:rPr>
          <w:rFonts w:hint="eastAsia" w:ascii="仿宋_GB2312" w:hAnsi="仿宋_GB2312" w:eastAsia="仿宋_GB2312" w:cs="仿宋_GB2312"/>
          <w:color w:val="000000"/>
          <w:sz w:val="32"/>
          <w:szCs w:val="32"/>
          <w:highlight w:val="none"/>
          <w:shd w:val="clear" w:color="auto" w:fill="auto"/>
        </w:rPr>
        <w:t>价与结算</w:t>
      </w:r>
      <w:r>
        <w:rPr>
          <w:rFonts w:hint="eastAsia" w:ascii="仿宋_GB2312" w:hAnsi="仿宋_GB2312" w:eastAsia="仿宋_GB2312" w:cs="仿宋_GB2312"/>
          <w:color w:val="000000"/>
          <w:sz w:val="32"/>
          <w:szCs w:val="32"/>
          <w:highlight w:val="none"/>
          <w:shd w:val="clear" w:color="auto" w:fill="auto"/>
          <w:lang w:val="en-US" w:eastAsia="zh-CN"/>
        </w:rPr>
        <w:t>初核</w:t>
      </w:r>
      <w:r>
        <w:rPr>
          <w:rFonts w:hint="eastAsia" w:ascii="仿宋_GB2312" w:hAnsi="仿宋_GB2312" w:eastAsia="仿宋_GB2312" w:cs="仿宋_GB2312"/>
          <w:color w:val="000000"/>
          <w:sz w:val="32"/>
          <w:szCs w:val="32"/>
          <w:highlight w:val="none"/>
          <w:shd w:val="clear" w:color="auto" w:fill="auto"/>
        </w:rPr>
        <w:t>金额（如有）两者最低值的80%；</w:t>
      </w:r>
    </w:p>
    <w:p w14:paraId="762C5D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结算</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color w:val="000000"/>
          <w:sz w:val="32"/>
          <w:szCs w:val="32"/>
          <w:highlight w:val="none"/>
          <w:shd w:val="clear" w:color="auto" w:fill="auto"/>
        </w:rPr>
        <w:t>按照如下第（</w:t>
      </w:r>
      <w:permStart w:id="35" w:edGrp="everyone"/>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permEnd w:id="35"/>
      <w:r>
        <w:rPr>
          <w:rFonts w:hint="eastAsia" w:ascii="仿宋_GB2312" w:hAnsi="仿宋_GB2312" w:eastAsia="仿宋_GB2312" w:cs="仿宋_GB2312"/>
          <w:color w:val="000000"/>
          <w:sz w:val="32"/>
          <w:szCs w:val="32"/>
          <w:highlight w:val="none"/>
          <w:shd w:val="clear" w:color="auto" w:fill="auto"/>
        </w:rPr>
        <w:t>）种方式进行</w:t>
      </w:r>
      <w:r>
        <w:rPr>
          <w:rFonts w:hint="eastAsia" w:ascii="仿宋_GB2312" w:hAnsi="仿宋_GB2312" w:eastAsia="仿宋_GB2312" w:cs="仿宋_GB2312"/>
          <w:color w:val="000000"/>
          <w:sz w:val="32"/>
          <w:szCs w:val="32"/>
          <w:highlight w:val="none"/>
          <w:shd w:val="clear" w:color="auto" w:fill="auto"/>
          <w:lang w:eastAsia="zh-CN"/>
        </w:rPr>
        <w:t>：</w:t>
      </w:r>
    </w:p>
    <w:p w14:paraId="45A76C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①</w:t>
      </w:r>
      <w:r>
        <w:rPr>
          <w:rFonts w:hint="eastAsia" w:ascii="仿宋_GB2312" w:hAnsi="仿宋_GB2312" w:eastAsia="仿宋_GB2312" w:cs="仿宋_GB2312"/>
          <w:color w:val="000000"/>
          <w:sz w:val="32"/>
          <w:szCs w:val="32"/>
          <w:highlight w:val="none"/>
          <w:shd w:val="clear" w:color="auto" w:fill="auto"/>
        </w:rPr>
        <w:t>造价咨询服务剩余款项在委托人</w:t>
      </w:r>
      <w:r>
        <w:rPr>
          <w:rFonts w:hint="eastAsia" w:ascii="仿宋_GB2312" w:hAnsi="仿宋_GB2312" w:eastAsia="仿宋_GB2312" w:cs="仿宋_GB2312"/>
          <w:color w:val="000000"/>
          <w:sz w:val="32"/>
          <w:szCs w:val="32"/>
          <w:highlight w:val="none"/>
          <w:shd w:val="clear" w:color="auto" w:fill="auto"/>
          <w:lang w:val="en-US" w:eastAsia="zh-CN"/>
        </w:rPr>
        <w:t>委托项目</w:t>
      </w:r>
      <w:r>
        <w:rPr>
          <w:rFonts w:hint="eastAsia" w:ascii="仿宋_GB2312" w:hAnsi="仿宋_GB2312" w:eastAsia="仿宋_GB2312" w:cs="仿宋_GB2312"/>
          <w:color w:val="000000"/>
          <w:sz w:val="32"/>
          <w:szCs w:val="32"/>
          <w:highlight w:val="none"/>
          <w:shd w:val="clear" w:color="auto" w:fill="auto"/>
        </w:rPr>
        <w:t>完成</w:t>
      </w:r>
      <w:r>
        <w:rPr>
          <w:rFonts w:hint="eastAsia" w:ascii="仿宋_GB2312" w:hAnsi="仿宋_GB2312" w:eastAsia="仿宋_GB2312" w:cs="仿宋_GB2312"/>
          <w:color w:val="000000"/>
          <w:sz w:val="32"/>
          <w:szCs w:val="32"/>
          <w:highlight w:val="none"/>
          <w:shd w:val="clear" w:color="auto" w:fill="auto"/>
          <w:lang w:val="en-US" w:eastAsia="zh-CN"/>
        </w:rPr>
        <w:t>招采并签订施工</w:t>
      </w:r>
      <w:r>
        <w:rPr>
          <w:rFonts w:hint="eastAsia" w:ascii="仿宋_GB2312" w:hAnsi="仿宋_GB2312" w:eastAsia="仿宋_GB2312" w:cs="仿宋_GB2312"/>
          <w:color w:val="000000"/>
          <w:sz w:val="32"/>
          <w:szCs w:val="32"/>
          <w:highlight w:val="none"/>
          <w:shd w:val="clear" w:color="auto" w:fill="auto"/>
        </w:rPr>
        <w:t>后30个工作日内，委托人一次性支付。</w:t>
      </w:r>
    </w:p>
    <w:p w14:paraId="7965B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②</w:t>
      </w:r>
      <w:r>
        <w:rPr>
          <w:rFonts w:hint="eastAsia" w:ascii="仿宋_GB2312" w:hAnsi="仿宋_GB2312" w:eastAsia="仿宋_GB2312" w:cs="仿宋_GB2312"/>
          <w:color w:val="000000"/>
          <w:sz w:val="32"/>
          <w:szCs w:val="32"/>
          <w:highlight w:val="none"/>
          <w:shd w:val="clear" w:color="auto" w:fill="auto"/>
        </w:rPr>
        <w:t>造价咨询服务剩余款项在委托人审核确认工程决算</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如有</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并取得</w:t>
      </w:r>
      <w:r>
        <w:rPr>
          <w:rFonts w:hint="eastAsia" w:ascii="仿宋_GB2312" w:hAnsi="仿宋_GB2312" w:eastAsia="仿宋_GB2312" w:cs="仿宋_GB2312"/>
          <w:color w:val="000000"/>
          <w:sz w:val="32"/>
          <w:szCs w:val="32"/>
          <w:highlight w:val="none"/>
          <w:shd w:val="clear" w:color="auto" w:fill="auto"/>
          <w:lang w:eastAsia="zh-CN"/>
        </w:rPr>
        <w:t>上级</w:t>
      </w:r>
      <w:r>
        <w:rPr>
          <w:rFonts w:hint="eastAsia" w:ascii="仿宋_GB2312" w:hAnsi="仿宋_GB2312" w:eastAsia="仿宋_GB2312" w:cs="仿宋_GB2312"/>
          <w:color w:val="000000"/>
          <w:sz w:val="32"/>
          <w:szCs w:val="32"/>
          <w:highlight w:val="none"/>
          <w:shd w:val="clear" w:color="auto" w:fill="auto"/>
        </w:rPr>
        <w:t>部门批复（如有）完成后30个工作日内，委托人一次性支付。</w:t>
      </w:r>
    </w:p>
    <w:p w14:paraId="55EC9044">
      <w:pPr>
        <w:numPr>
          <w:ilvl w:val="0"/>
          <w:numId w:val="0"/>
        </w:numPr>
        <w:shd w:val="clear" w:color="auto" w:fill="auto"/>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lang w:val="en-US" w:eastAsia="zh-CN" w:bidi="ar-SA"/>
        </w:rPr>
        <w:t>（4）</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质保金</w:t>
      </w:r>
      <w:r>
        <w:rPr>
          <w:rFonts w:hint="eastAsia" w:ascii="仿宋_GB2312" w:hAnsi="仿宋_GB2312" w:eastAsia="仿宋_GB2312" w:cs="仿宋_GB2312"/>
          <w:color w:val="auto"/>
          <w:sz w:val="32"/>
          <w:szCs w:val="32"/>
          <w:highlight w:val="none"/>
          <w:shd w:val="clear" w:color="auto" w:fill="auto"/>
        </w:rPr>
        <w:t>】</w:t>
      </w:r>
      <w:permStart w:id="36" w:edGrp="everyone"/>
      <w:r>
        <w:rPr>
          <w:rFonts w:hint="eastAsia" w:ascii="仿宋_GB2312" w:hAnsi="仿宋_GB2312" w:eastAsia="仿宋_GB2312" w:cs="仿宋_GB2312"/>
          <w:color w:val="000000"/>
          <w:sz w:val="32"/>
          <w:szCs w:val="32"/>
          <w:highlight w:val="none"/>
          <w:shd w:val="clear" w:color="auto" w:fill="auto"/>
        </w:rPr>
        <w:t>按照如下第（</w:t>
      </w:r>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shd w:val="clear" w:color="auto" w:fill="auto"/>
        </w:rPr>
        <w:t>）种方式进行</w:t>
      </w:r>
      <w:r>
        <w:rPr>
          <w:rFonts w:hint="eastAsia" w:ascii="仿宋_GB2312" w:hAnsi="仿宋_GB2312" w:eastAsia="仿宋_GB2312" w:cs="仿宋_GB2312"/>
          <w:color w:val="000000"/>
          <w:sz w:val="32"/>
          <w:szCs w:val="32"/>
          <w:highlight w:val="none"/>
          <w:shd w:val="clear" w:color="auto" w:fill="auto"/>
          <w:lang w:eastAsia="zh-CN"/>
        </w:rPr>
        <w:t>：</w:t>
      </w:r>
      <w:permEnd w:id="36"/>
    </w:p>
    <w:p w14:paraId="434D35CF">
      <w:pPr>
        <w:numPr>
          <w:ilvl w:val="0"/>
          <w:numId w:val="0"/>
        </w:numPr>
        <w:shd w:val="clear" w:color="auto" w:fill="auto"/>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①</w:t>
      </w:r>
      <w:r>
        <w:rPr>
          <w:rFonts w:hint="eastAsia" w:ascii="仿宋_GB2312" w:hAnsi="仿宋_GB2312" w:eastAsia="仿宋_GB2312" w:cs="仿宋_GB2312"/>
          <w:sz w:val="32"/>
          <w:szCs w:val="32"/>
          <w:highlight w:val="none"/>
          <w:shd w:val="clear" w:color="auto" w:fill="auto"/>
        </w:rPr>
        <w:t>本合同不预留质保金。</w:t>
      </w:r>
    </w:p>
    <w:p w14:paraId="478BF933">
      <w:pPr>
        <w:shd w:val="clear" w:color="auto" w:fill="auto"/>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②</w:t>
      </w:r>
      <w:r>
        <w:rPr>
          <w:rFonts w:hint="eastAsia" w:ascii="仿宋_GB2312" w:hAnsi="仿宋_GB2312" w:eastAsia="仿宋_GB2312" w:cs="仿宋_GB2312"/>
          <w:sz w:val="32"/>
          <w:szCs w:val="32"/>
          <w:highlight w:val="none"/>
          <w:shd w:val="clear" w:color="auto" w:fill="auto"/>
        </w:rPr>
        <w:t>以审核后的项目竣工财务决算中</w:t>
      </w:r>
      <w:r>
        <w:rPr>
          <w:rFonts w:hint="eastAsia" w:ascii="仿宋_GB2312" w:hAnsi="仿宋_GB2312" w:eastAsia="仿宋_GB2312" w:cs="仿宋_GB2312"/>
          <w:sz w:val="32"/>
          <w:szCs w:val="32"/>
          <w:highlight w:val="none"/>
          <w:shd w:val="clear" w:color="auto" w:fill="auto"/>
          <w:lang w:val="en-US" w:eastAsia="zh-CN"/>
        </w:rPr>
        <w:t>清单及控制价编制</w:t>
      </w:r>
      <w:r>
        <w:rPr>
          <w:rFonts w:hint="eastAsia" w:ascii="仿宋_GB2312" w:hAnsi="仿宋_GB2312" w:eastAsia="仿宋_GB2312" w:cs="仿宋_GB2312"/>
          <w:sz w:val="32"/>
          <w:szCs w:val="32"/>
          <w:highlight w:val="none"/>
          <w:shd w:val="clear" w:color="auto" w:fill="auto"/>
        </w:rPr>
        <w:t>决算价款的</w:t>
      </w:r>
      <w:permStart w:id="37" w:edGrp="everyone"/>
      <w:r>
        <w:rPr>
          <w:rFonts w:hint="eastAsia" w:ascii="仿宋_GB2312" w:hAnsi="仿宋_GB2312" w:eastAsia="仿宋_GB2312" w:cs="仿宋_GB2312"/>
          <w:sz w:val="32"/>
          <w:szCs w:val="32"/>
          <w:highlight w:val="none"/>
          <w:shd w:val="clear" w:color="auto" w:fill="auto"/>
          <w:lang w:val="en-US" w:eastAsia="zh-CN"/>
        </w:rPr>
        <w:t xml:space="preserve"> 3 </w:t>
      </w:r>
      <w:permEnd w:id="37"/>
      <w:r>
        <w:rPr>
          <w:rFonts w:hint="eastAsia" w:ascii="仿宋_GB2312" w:hAnsi="仿宋_GB2312" w:eastAsia="仿宋_GB2312" w:cs="仿宋_GB2312"/>
          <w:sz w:val="32"/>
          <w:szCs w:val="32"/>
          <w:highlight w:val="none"/>
          <w:shd w:val="clear" w:color="auto" w:fill="auto"/>
        </w:rPr>
        <w:t>%作为质保金，质保期满后，经双方对合同服务及履行义务确认无异后，</w:t>
      </w:r>
      <w:r>
        <w:rPr>
          <w:rFonts w:hint="eastAsia" w:ascii="仿宋_GB2312" w:hAnsi="仿宋_GB2312" w:eastAsia="仿宋_GB2312" w:cs="仿宋_GB2312"/>
          <w:sz w:val="32"/>
          <w:szCs w:val="32"/>
          <w:highlight w:val="none"/>
          <w:shd w:val="clear" w:color="auto" w:fill="auto"/>
          <w:lang w:val="en-US" w:eastAsia="zh-CN"/>
        </w:rPr>
        <w:t>委托人</w:t>
      </w:r>
      <w:r>
        <w:rPr>
          <w:rFonts w:hint="eastAsia" w:ascii="仿宋_GB2312" w:hAnsi="仿宋_GB2312" w:eastAsia="仿宋_GB2312" w:cs="仿宋_GB2312"/>
          <w:sz w:val="32"/>
          <w:szCs w:val="32"/>
          <w:highlight w:val="none"/>
          <w:shd w:val="clear" w:color="auto" w:fill="auto"/>
        </w:rPr>
        <w:t>在收到</w:t>
      </w:r>
      <w:r>
        <w:rPr>
          <w:rFonts w:hint="eastAsia" w:ascii="仿宋_GB2312" w:hAnsi="仿宋_GB2312" w:eastAsia="仿宋_GB2312" w:cs="仿宋_GB2312"/>
          <w:sz w:val="32"/>
          <w:szCs w:val="32"/>
          <w:highlight w:val="none"/>
          <w:shd w:val="clear" w:color="auto" w:fill="auto"/>
          <w:lang w:val="en-US" w:eastAsia="zh-CN"/>
        </w:rPr>
        <w:t>设计人</w:t>
      </w:r>
      <w:r>
        <w:rPr>
          <w:rFonts w:hint="eastAsia" w:ascii="仿宋_GB2312" w:hAnsi="仿宋_GB2312" w:eastAsia="仿宋_GB2312" w:cs="仿宋_GB2312"/>
          <w:sz w:val="32"/>
          <w:szCs w:val="32"/>
          <w:highlight w:val="none"/>
          <w:shd w:val="clear" w:color="auto" w:fill="auto"/>
        </w:rPr>
        <w:t>的付款申请之日起</w:t>
      </w:r>
      <w:permStart w:id="38" w:edGrp="everyone"/>
      <w:r>
        <w:rPr>
          <w:rFonts w:hint="eastAsia" w:ascii="仿宋_GB2312" w:hAnsi="仿宋_GB2312" w:eastAsia="仿宋_GB2312" w:cs="仿宋_GB2312"/>
          <w:sz w:val="32"/>
          <w:szCs w:val="32"/>
          <w:highlight w:val="none"/>
          <w:shd w:val="clear" w:color="auto" w:fill="auto"/>
        </w:rPr>
        <w:t>[3]</w:t>
      </w:r>
      <w:permEnd w:id="38"/>
      <w:r>
        <w:rPr>
          <w:rFonts w:hint="eastAsia" w:ascii="仿宋_GB2312" w:hAnsi="仿宋_GB2312" w:eastAsia="仿宋_GB2312" w:cs="仿宋_GB2312"/>
          <w:sz w:val="32"/>
          <w:szCs w:val="32"/>
          <w:highlight w:val="none"/>
          <w:shd w:val="clear" w:color="auto" w:fill="auto"/>
        </w:rPr>
        <w:t>个工作日内向</w:t>
      </w:r>
      <w:r>
        <w:rPr>
          <w:rFonts w:hint="eastAsia" w:ascii="仿宋_GB2312" w:hAnsi="仿宋_GB2312" w:eastAsia="仿宋_GB2312" w:cs="仿宋_GB2312"/>
          <w:sz w:val="32"/>
          <w:szCs w:val="32"/>
          <w:highlight w:val="none"/>
          <w:shd w:val="clear" w:color="auto" w:fill="auto"/>
          <w:lang w:val="en-US" w:eastAsia="zh-CN"/>
        </w:rPr>
        <w:t>设计人</w:t>
      </w:r>
      <w:r>
        <w:rPr>
          <w:rFonts w:hint="eastAsia" w:ascii="仿宋_GB2312" w:hAnsi="仿宋_GB2312" w:eastAsia="仿宋_GB2312" w:cs="仿宋_GB2312"/>
          <w:sz w:val="32"/>
          <w:szCs w:val="32"/>
          <w:highlight w:val="none"/>
          <w:shd w:val="clear" w:color="auto" w:fill="auto"/>
        </w:rPr>
        <w:t>无息返还质保金。</w:t>
      </w:r>
    </w:p>
    <w:p w14:paraId="44674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lang w:val="en-US" w:eastAsia="zh-CN"/>
        </w:rPr>
        <w:t>3.</w:t>
      </w:r>
      <w:r>
        <w:rPr>
          <w:rStyle w:val="17"/>
          <w:rFonts w:hint="eastAsia" w:ascii="仿宋_GB2312" w:hAnsi="仿宋_GB2312" w:eastAsia="仿宋_GB2312" w:cs="仿宋_GB2312"/>
          <w:b w:val="0"/>
          <w:color w:val="000000"/>
          <w:sz w:val="32"/>
          <w:szCs w:val="32"/>
          <w:highlight w:val="none"/>
          <w:shd w:val="clear" w:color="auto" w:fill="auto"/>
        </w:rPr>
        <w:t>支付货币</w:t>
      </w:r>
    </w:p>
    <w:p w14:paraId="33A8F9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币种为：</w:t>
      </w:r>
      <w:r>
        <w:rPr>
          <w:rFonts w:hint="eastAsia" w:ascii="仿宋_GB2312" w:hAnsi="仿宋_GB2312" w:eastAsia="仿宋_GB2312" w:cs="仿宋_GB2312"/>
          <w:color w:val="000000"/>
          <w:sz w:val="32"/>
          <w:szCs w:val="32"/>
          <w:highlight w:val="none"/>
          <w:u w:val="single"/>
          <w:shd w:val="clear" w:color="auto" w:fill="auto"/>
        </w:rPr>
        <w:t>人民币</w:t>
      </w:r>
      <w:r>
        <w:rPr>
          <w:rFonts w:hint="eastAsia" w:ascii="仿宋_GB2312" w:hAnsi="仿宋_GB2312" w:eastAsia="仿宋_GB2312" w:cs="仿宋_GB2312"/>
          <w:color w:val="000000"/>
          <w:sz w:val="32"/>
          <w:szCs w:val="32"/>
          <w:highlight w:val="none"/>
          <w:shd w:val="clear" w:color="auto" w:fill="auto"/>
        </w:rPr>
        <w:t>，汇率为：</w:t>
      </w:r>
      <w:r>
        <w:rPr>
          <w:rFonts w:hint="eastAsia" w:ascii="仿宋_GB2312" w:hAnsi="仿宋_GB2312" w:eastAsia="仿宋_GB2312" w:cs="仿宋_GB2312"/>
          <w:color w:val="000000"/>
          <w:sz w:val="32"/>
          <w:szCs w:val="32"/>
          <w:highlight w:val="none"/>
          <w:u w:val="single"/>
          <w:shd w:val="clear" w:color="auto" w:fill="auto"/>
        </w:rPr>
        <w:t>/</w:t>
      </w:r>
      <w:r>
        <w:rPr>
          <w:rFonts w:hint="eastAsia" w:ascii="仿宋_GB2312" w:hAnsi="仿宋_GB2312" w:eastAsia="仿宋_GB2312" w:cs="仿宋_GB2312"/>
          <w:color w:val="000000"/>
          <w:sz w:val="32"/>
          <w:szCs w:val="32"/>
          <w:highlight w:val="none"/>
          <w:shd w:val="clear" w:color="auto" w:fill="auto"/>
        </w:rPr>
        <w:t>，其他约定：</w:t>
      </w:r>
      <w:r>
        <w:rPr>
          <w:rFonts w:hint="eastAsia" w:ascii="仿宋_GB2312" w:hAnsi="仿宋_GB2312" w:eastAsia="仿宋_GB2312" w:cs="仿宋_GB2312"/>
          <w:color w:val="000000"/>
          <w:sz w:val="32"/>
          <w:szCs w:val="32"/>
          <w:highlight w:val="none"/>
          <w:u w:val="single"/>
          <w:shd w:val="clear" w:color="auto" w:fill="auto"/>
        </w:rPr>
        <w:t>无</w:t>
      </w:r>
      <w:r>
        <w:rPr>
          <w:rFonts w:hint="eastAsia" w:ascii="仿宋_GB2312" w:hAnsi="仿宋_GB2312" w:eastAsia="仿宋_GB2312" w:cs="仿宋_GB2312"/>
          <w:color w:val="000000"/>
          <w:sz w:val="32"/>
          <w:szCs w:val="32"/>
          <w:highlight w:val="none"/>
          <w:shd w:val="clear" w:color="auto" w:fill="auto"/>
        </w:rPr>
        <w:t>。</w:t>
      </w:r>
    </w:p>
    <w:p w14:paraId="4C7B3F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lang w:val="en-US" w:eastAsia="zh-CN"/>
        </w:rPr>
        <w:t>4.</w:t>
      </w:r>
      <w:r>
        <w:rPr>
          <w:rStyle w:val="17"/>
          <w:rFonts w:hint="eastAsia" w:ascii="仿宋_GB2312" w:hAnsi="仿宋_GB2312" w:eastAsia="仿宋_GB2312" w:cs="仿宋_GB2312"/>
          <w:b w:val="0"/>
          <w:color w:val="000000"/>
          <w:sz w:val="32"/>
          <w:szCs w:val="32"/>
          <w:highlight w:val="none"/>
          <w:shd w:val="clear" w:color="auto" w:fill="auto"/>
        </w:rPr>
        <w:t>支付申请</w:t>
      </w:r>
    </w:p>
    <w:p w14:paraId="2D5BE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rPr>
        <w:t>咨询人应在本合同约定的每次应付款日期</w:t>
      </w:r>
      <w:permStart w:id="39"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w:t>
      </w:r>
      <w:permEnd w:id="39"/>
      <w:r>
        <w:rPr>
          <w:rFonts w:hint="eastAsia" w:ascii="仿宋_GB2312" w:hAnsi="仿宋_GB2312" w:eastAsia="仿宋_GB2312" w:cs="仿宋_GB2312"/>
          <w:color w:val="000000"/>
          <w:sz w:val="32"/>
          <w:szCs w:val="32"/>
          <w:highlight w:val="none"/>
          <w:shd w:val="clear" w:color="auto" w:fill="auto"/>
        </w:rPr>
        <w:t>日前，向委托人提交支付申请书</w:t>
      </w:r>
    </w:p>
    <w:p w14:paraId="1461BA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黑体" w:hAnsi="黑体" w:eastAsia="黑体" w:cs="黑体"/>
          <w:b w:val="0"/>
          <w:bCs w:val="0"/>
          <w:color w:val="000000"/>
          <w:sz w:val="32"/>
          <w:szCs w:val="32"/>
          <w:highlight w:val="none"/>
          <w:shd w:val="clear" w:color="auto" w:fill="auto"/>
          <w:lang w:val="en-US" w:eastAsia="zh-CN"/>
        </w:rPr>
        <w:t>六、</w:t>
      </w:r>
      <w:r>
        <w:rPr>
          <w:rFonts w:hint="eastAsia" w:ascii="黑体" w:hAnsi="黑体" w:eastAsia="黑体" w:cs="黑体"/>
          <w:b w:val="0"/>
          <w:bCs w:val="0"/>
          <w:color w:val="000000"/>
          <w:sz w:val="32"/>
          <w:szCs w:val="32"/>
          <w:highlight w:val="none"/>
          <w:shd w:val="clear" w:color="auto" w:fill="auto"/>
        </w:rPr>
        <w:t>合同结算方式</w:t>
      </w:r>
    </w:p>
    <w:p w14:paraId="7E7F74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1.咨询费按照以下</w:t>
      </w:r>
      <w:permStart w:id="40" w:edGrp="everyone"/>
      <w:r>
        <w:rPr>
          <w:rFonts w:hint="eastAsia" w:ascii="仿宋_GB2312" w:hAnsi="仿宋_GB2312" w:eastAsia="仿宋_GB2312" w:cs="仿宋_GB2312"/>
          <w:color w:val="000000"/>
          <w:kern w:val="2"/>
          <w:sz w:val="32"/>
          <w:szCs w:val="32"/>
          <w:highlight w:val="none"/>
          <w:shd w:val="clear" w:color="auto" w:fill="auto"/>
          <w:lang w:val="en-US" w:eastAsia="zh-CN" w:bidi="ar-SA"/>
        </w:rPr>
        <w:t xml:space="preserve">   </w:t>
      </w:r>
      <w:permEnd w:id="40"/>
      <w:r>
        <w:rPr>
          <w:rFonts w:hint="eastAsia" w:ascii="仿宋_GB2312" w:hAnsi="仿宋_GB2312" w:eastAsia="仿宋_GB2312" w:cs="仿宋_GB2312"/>
          <w:color w:val="000000"/>
          <w:kern w:val="2"/>
          <w:sz w:val="32"/>
          <w:szCs w:val="32"/>
          <w:highlight w:val="none"/>
          <w:shd w:val="clear" w:color="auto" w:fill="auto"/>
          <w:lang w:val="en-US" w:eastAsia="zh-CN" w:bidi="ar-SA"/>
        </w:rPr>
        <w:t>方式进行结算。</w:t>
      </w:r>
    </w:p>
    <w:p w14:paraId="45C7E81F">
      <w:pPr>
        <w:pStyle w:val="1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①招标工程量清单及控制价结算金额：以委托人确认的工程量清单及控制价最终编制成果造价（以下简称“成果造价”）</w:t>
      </w:r>
      <w:r>
        <w:rPr>
          <w:rFonts w:hint="eastAsia" w:ascii="仿宋_GB2312" w:hAnsi="仿宋_GB2312" w:eastAsia="仿宋_GB2312" w:cs="仿宋_GB2312"/>
          <w:strike w:val="0"/>
          <w:dstrike w:val="0"/>
          <w:color w:val="000000"/>
          <w:sz w:val="32"/>
          <w:szCs w:val="32"/>
          <w:highlight w:val="none"/>
          <w:shd w:val="clear" w:color="auto" w:fill="auto"/>
          <w:lang w:val="en-US" w:eastAsia="zh-CN"/>
        </w:rPr>
        <w:t>扣减</w:t>
      </w:r>
      <w:r>
        <w:rPr>
          <w:rFonts w:hint="eastAsia" w:ascii="仿宋_GB2312" w:hAnsi="仿宋_GB2312" w:eastAsia="仿宋_GB2312" w:cs="仿宋_GB2312"/>
          <w:color w:val="000000"/>
          <w:kern w:val="2"/>
          <w:sz w:val="32"/>
          <w:szCs w:val="32"/>
          <w:highlight w:val="none"/>
          <w:shd w:val="clear" w:color="auto" w:fill="auto"/>
          <w:lang w:val="en-US" w:eastAsia="zh-CN" w:bidi="ar-SA"/>
        </w:rPr>
        <w:t>成果造价中的</w:t>
      </w:r>
      <w:r>
        <w:rPr>
          <w:rFonts w:hint="eastAsia" w:ascii="仿宋_GB2312" w:hAnsi="仿宋_GB2312" w:eastAsia="仿宋_GB2312" w:cs="仿宋_GB2312"/>
          <w:strike w:val="0"/>
          <w:dstrike w:val="0"/>
          <w:color w:val="000000"/>
          <w:sz w:val="32"/>
          <w:szCs w:val="32"/>
          <w:highlight w:val="none"/>
          <w:shd w:val="clear" w:color="auto" w:fill="auto"/>
          <w:lang w:val="en-US" w:eastAsia="zh-CN"/>
        </w:rPr>
        <w:t>设备购置费*60%为计算基数（且计算基数不小于</w:t>
      </w:r>
      <w:r>
        <w:rPr>
          <w:rFonts w:hint="eastAsia" w:ascii="仿宋_GB2312" w:hAnsi="仿宋_GB2312" w:eastAsia="仿宋_GB2312" w:cs="仿宋_GB2312"/>
          <w:color w:val="000000"/>
          <w:kern w:val="2"/>
          <w:sz w:val="32"/>
          <w:szCs w:val="32"/>
          <w:highlight w:val="none"/>
          <w:shd w:val="clear" w:color="auto" w:fill="auto"/>
          <w:lang w:val="en-US" w:eastAsia="zh-CN" w:bidi="ar-SA"/>
        </w:rPr>
        <w:t>成果造价</w:t>
      </w:r>
      <w:r>
        <w:rPr>
          <w:rFonts w:hint="eastAsia" w:ascii="仿宋_GB2312" w:hAnsi="仿宋_GB2312" w:eastAsia="仿宋_GB2312" w:cs="仿宋_GB2312"/>
          <w:strike w:val="0"/>
          <w:dstrike w:val="0"/>
          <w:color w:val="000000"/>
          <w:sz w:val="32"/>
          <w:szCs w:val="32"/>
          <w:highlight w:val="none"/>
          <w:shd w:val="clear" w:color="auto" w:fill="auto"/>
          <w:lang w:val="en-US" w:eastAsia="zh-CN"/>
        </w:rPr>
        <w:t>建安费/0.6，设备购置费按可研批复划分范围为准），</w:t>
      </w:r>
      <w:r>
        <w:rPr>
          <w:rFonts w:hint="eastAsia" w:ascii="仿宋_GB2312" w:hAnsi="仿宋_GB2312" w:eastAsia="仿宋_GB2312" w:cs="仿宋_GB2312"/>
          <w:color w:val="000000"/>
          <w:kern w:val="2"/>
          <w:sz w:val="32"/>
          <w:szCs w:val="32"/>
          <w:highlight w:val="none"/>
          <w:shd w:val="clear" w:color="auto" w:fill="auto"/>
          <w:lang w:val="en-US" w:eastAsia="zh-CN" w:bidi="ar-SA"/>
        </w:rPr>
        <w:t>依据海南省发展改革厅、海南省建设厅《关于规范工程造价咨询服务收费有关问题的通知》（琼发改收费[2007]170号）中工程量清单及控制价编制收费系数计算的金额*（1-造价咨询基准下浮率），不另计调整系数、钢筋抽样费用及已标价工程量清单修正费用。</w:t>
      </w:r>
    </w:p>
    <w:p w14:paraId="3530FCE4">
      <w:pPr>
        <w:pStyle w:val="1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rPr>
        <w:t>造价咨询基准下浮率=（1-造价咨询投标报价/工程量清单及控制价编制收费基准价）×100%=</w:t>
      </w:r>
      <w:permStart w:id="41"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41"/>
      <w:r>
        <w:rPr>
          <w:rFonts w:hint="eastAsia" w:ascii="仿宋_GB2312" w:hAnsi="仿宋_GB2312" w:eastAsia="仿宋_GB2312" w:cs="仿宋_GB2312"/>
          <w:color w:val="000000"/>
          <w:sz w:val="32"/>
          <w:szCs w:val="32"/>
          <w:highlight w:val="none"/>
          <w:shd w:val="clear" w:color="auto" w:fill="auto"/>
          <w:lang w:val="en-US" w:eastAsia="zh-CN"/>
        </w:rPr>
        <w:t xml:space="preserve">   </w:t>
      </w:r>
    </w:p>
    <w:p w14:paraId="140A178C">
      <w:pPr>
        <w:pStyle w:val="15"/>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sz w:val="32"/>
          <w:szCs w:val="32"/>
          <w:highlight w:val="none"/>
          <w:shd w:val="clear" w:color="auto" w:fill="auto"/>
        </w:rPr>
        <w:t>收费基准价</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以</w:t>
      </w:r>
      <w:permStart w:id="42" w:edGrp="everyone"/>
      <w:r>
        <w:rPr>
          <w:rFonts w:hint="eastAsia" w:ascii="仿宋_GB2312" w:hAnsi="仿宋_GB2312" w:eastAsia="仿宋_GB2312" w:cs="仿宋_GB2312"/>
          <w:color w:val="000000"/>
          <w:sz w:val="32"/>
          <w:szCs w:val="32"/>
          <w:highlight w:val="none"/>
          <w:shd w:val="clear" w:color="auto" w:fill="auto"/>
          <w:lang w:val="en-US" w:eastAsia="zh-CN"/>
        </w:rPr>
        <w:t>【</w:t>
      </w: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w:t>
      </w:r>
      <w:permEnd w:id="42"/>
      <w:r>
        <w:rPr>
          <w:rFonts w:hint="eastAsia" w:ascii="仿宋_GB2312" w:hAnsi="仿宋_GB2312" w:eastAsia="仿宋_GB2312" w:cs="仿宋_GB2312"/>
          <w:color w:val="000000"/>
          <w:sz w:val="32"/>
          <w:szCs w:val="32"/>
          <w:highlight w:val="none"/>
          <w:shd w:val="clear" w:color="auto" w:fill="auto"/>
          <w:lang w:val="en-US" w:eastAsia="zh-CN"/>
        </w:rPr>
        <w:t>万元为</w:t>
      </w:r>
      <w:r>
        <w:rPr>
          <w:rFonts w:hint="eastAsia" w:ascii="仿宋_GB2312" w:hAnsi="仿宋_GB2312" w:eastAsia="仿宋_GB2312" w:cs="仿宋_GB2312"/>
          <w:color w:val="000000"/>
          <w:sz w:val="32"/>
          <w:szCs w:val="32"/>
          <w:highlight w:val="none"/>
          <w:shd w:val="clear" w:color="auto" w:fill="auto"/>
        </w:rPr>
        <w:t>计算基数依据</w:t>
      </w:r>
      <w:r>
        <w:rPr>
          <w:rFonts w:hint="eastAsia" w:ascii="仿宋_GB2312" w:hAnsi="仿宋_GB2312" w:eastAsia="仿宋_GB2312" w:cs="仿宋_GB2312"/>
          <w:color w:val="000000"/>
          <w:sz w:val="32"/>
          <w:szCs w:val="32"/>
          <w:highlight w:val="none"/>
          <w:shd w:val="clear" w:color="auto" w:fill="auto"/>
          <w:lang w:eastAsia="zh-CN"/>
        </w:rPr>
        <w:t>海南省发展改革厅、海南省建设厅《关于规范工程造价咨询服务收费有关问题的通知》（琼发改收费[2007]170号）</w:t>
      </w:r>
      <w:r>
        <w:rPr>
          <w:rFonts w:hint="eastAsia" w:ascii="仿宋_GB2312" w:hAnsi="仿宋_GB2312" w:eastAsia="仿宋_GB2312" w:cs="仿宋_GB2312"/>
          <w:color w:val="000000"/>
          <w:sz w:val="32"/>
          <w:szCs w:val="32"/>
          <w:highlight w:val="none"/>
          <w:shd w:val="clear" w:color="auto" w:fill="auto"/>
        </w:rPr>
        <w:t>中工程量清单及控制价编制收费</w:t>
      </w:r>
      <w:r>
        <w:rPr>
          <w:rFonts w:hint="eastAsia" w:ascii="仿宋_GB2312" w:hAnsi="仿宋_GB2312" w:eastAsia="仿宋_GB2312" w:cs="仿宋_GB2312"/>
          <w:color w:val="000000"/>
          <w:sz w:val="32"/>
          <w:szCs w:val="32"/>
          <w:highlight w:val="none"/>
          <w:shd w:val="clear" w:color="auto" w:fill="auto"/>
          <w:lang w:val="en-US" w:eastAsia="zh-CN"/>
        </w:rPr>
        <w:t>系数计算的金额</w:t>
      </w:r>
      <w:r>
        <w:rPr>
          <w:rFonts w:hint="eastAsia" w:ascii="仿宋_GB2312" w:hAnsi="仿宋_GB2312" w:eastAsia="仿宋_GB2312" w:cs="仿宋_GB2312"/>
          <w:color w:val="000000"/>
          <w:sz w:val="32"/>
          <w:szCs w:val="32"/>
          <w:highlight w:val="none"/>
          <w:shd w:val="clear" w:color="auto" w:fill="auto"/>
        </w:rPr>
        <w:t>。</w:t>
      </w:r>
    </w:p>
    <w:p w14:paraId="5096A5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②招标工程量清单及控制价结算金额以总价包干方式进行结算。</w:t>
      </w:r>
    </w:p>
    <w:p w14:paraId="3A537FCA">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2.</w:t>
      </w:r>
      <w:r>
        <w:rPr>
          <w:rFonts w:hint="eastAsia" w:ascii="仿宋_GB2312" w:hAnsi="仿宋_GB2312" w:eastAsia="仿宋_GB2312" w:cs="仿宋_GB2312"/>
          <w:color w:val="000000"/>
          <w:sz w:val="32"/>
          <w:szCs w:val="32"/>
          <w:highlight w:val="none"/>
          <w:shd w:val="clear" w:color="auto" w:fill="auto"/>
        </w:rPr>
        <w:t>核算后的价格均不得超过发包人审核确认及相关部门（如有）批复中的金额。</w:t>
      </w:r>
    </w:p>
    <w:p w14:paraId="414E047A">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3</w:t>
      </w:r>
      <w:r>
        <w:rPr>
          <w:rFonts w:hint="eastAsia" w:ascii="仿宋_GB2312" w:hAnsi="仿宋_GB2312" w:eastAsia="仿宋_GB2312" w:cs="仿宋_GB2312"/>
          <w:color w:val="000000"/>
          <w:sz w:val="32"/>
          <w:szCs w:val="32"/>
          <w:highlight w:val="none"/>
          <w:shd w:val="clear" w:color="auto" w:fill="auto"/>
        </w:rPr>
        <w:t>.咨询人提交虚假发票，委托人有权解除合同。咨询人提交的发票必须真实、合法、有效。若咨询人提交虚假发票，咨询人必须在委托人规定的时限内更换发票。委托人尚未支付款项的，委托人停止支付并按虚假发票金额的20%扣除咨询人违约金直至咨询人发票符合约定；委托人已支付款项的，委托人有权从次笔进度款或结算款中扣回已支付的款项并按虚假发票金额的20%扣除咨询人违约金，咨询人提供合法有效发票后委托人按约定付款；对已完成结算并支付款项完毕，咨询人拒不提供合法有效发票并按虚假发票金额的20%承担违约责任的，委托人将通过法律途径追究咨询人相关责任。</w:t>
      </w:r>
    </w:p>
    <w:p w14:paraId="1F3B453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.收付款账户</w:t>
      </w:r>
    </w:p>
    <w:p w14:paraId="3FDA0E4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bookmarkStart w:id="15" w:name="OLE_LINK16"/>
      <w:r>
        <w:rPr>
          <w:rFonts w:hint="eastAsia" w:ascii="仿宋_GB2312" w:hAnsi="仿宋_GB2312" w:eastAsia="仿宋_GB2312" w:cs="仿宋_GB2312"/>
          <w:sz w:val="32"/>
          <w:szCs w:val="32"/>
          <w:highlight w:val="none"/>
          <w:shd w:val="clear" w:color="auto" w:fill="auto"/>
          <w:lang w:eastAsia="zh-CN"/>
        </w:rPr>
        <w:t>咨询人</w:t>
      </w:r>
      <w:bookmarkEnd w:id="15"/>
      <w:r>
        <w:rPr>
          <w:rFonts w:hint="eastAsia" w:ascii="仿宋_GB2312" w:hAnsi="仿宋_GB2312" w:eastAsia="仿宋_GB2312" w:cs="仿宋_GB2312"/>
          <w:sz w:val="32"/>
          <w:szCs w:val="32"/>
          <w:highlight w:val="none"/>
          <w:shd w:val="clear" w:color="auto" w:fill="auto"/>
        </w:rPr>
        <w:t>：</w:t>
      </w:r>
      <w:permStart w:id="43" w:edGrp="everyone"/>
      <w:r>
        <w:rPr>
          <w:rFonts w:hint="eastAsia" w:ascii="仿宋_GB2312" w:hAnsi="仿宋_GB2312" w:eastAsia="仿宋_GB2312" w:cs="仿宋_GB2312"/>
          <w:b w:val="0"/>
          <w:bCs/>
          <w:sz w:val="32"/>
          <w:szCs w:val="32"/>
          <w:highlight w:val="none"/>
          <w:shd w:val="clear" w:color="auto" w:fill="auto"/>
          <w:lang w:val="en-US" w:eastAsia="zh-CN"/>
        </w:rPr>
        <w:t xml:space="preserve">          </w:t>
      </w:r>
      <w:permEnd w:id="43"/>
      <w:r>
        <w:rPr>
          <w:rFonts w:hint="eastAsia" w:ascii="仿宋_GB2312" w:hAnsi="仿宋_GB2312" w:eastAsia="仿宋_GB2312" w:cs="仿宋_GB2312"/>
          <w:b w:val="0"/>
          <w:bCs/>
          <w:sz w:val="32"/>
          <w:szCs w:val="32"/>
          <w:highlight w:val="none"/>
          <w:shd w:val="clear" w:color="auto" w:fill="auto"/>
          <w:lang w:val="en-US" w:eastAsia="zh-CN"/>
        </w:rPr>
        <w:t xml:space="preserve">    </w:t>
      </w:r>
    </w:p>
    <w:p w14:paraId="7D6899E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开户行：</w:t>
      </w:r>
      <w:permStart w:id="44" w:edGrp="everyone"/>
      <w:r>
        <w:rPr>
          <w:rFonts w:hint="eastAsia" w:ascii="仿宋_GB2312" w:hAnsi="仿宋_GB2312" w:eastAsia="仿宋_GB2312" w:cs="仿宋_GB2312"/>
          <w:sz w:val="32"/>
          <w:szCs w:val="32"/>
          <w:highlight w:val="none"/>
          <w:shd w:val="clear" w:color="auto" w:fill="auto"/>
          <w:lang w:val="en-US" w:eastAsia="zh-CN"/>
        </w:rPr>
        <w:t xml:space="preserve">          </w:t>
      </w:r>
      <w:permEnd w:id="44"/>
      <w:r>
        <w:rPr>
          <w:rFonts w:hint="eastAsia" w:ascii="仿宋_GB2312" w:hAnsi="仿宋_GB2312" w:eastAsia="仿宋_GB2312" w:cs="仿宋_GB2312"/>
          <w:sz w:val="32"/>
          <w:szCs w:val="32"/>
          <w:highlight w:val="none"/>
          <w:shd w:val="clear" w:color="auto" w:fill="auto"/>
          <w:lang w:val="en-US" w:eastAsia="zh-CN"/>
        </w:rPr>
        <w:t xml:space="preserve">    </w:t>
      </w:r>
    </w:p>
    <w:p w14:paraId="6D7ED210">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地  址：</w:t>
      </w:r>
      <w:permStart w:id="45" w:edGrp="everyone"/>
      <w:r>
        <w:rPr>
          <w:rFonts w:hint="eastAsia" w:ascii="仿宋_GB2312" w:hAnsi="仿宋_GB2312" w:eastAsia="仿宋_GB2312" w:cs="仿宋_GB2312"/>
          <w:sz w:val="32"/>
          <w:szCs w:val="32"/>
          <w:highlight w:val="none"/>
          <w:shd w:val="clear" w:color="auto" w:fill="auto"/>
          <w:lang w:val="en-US" w:eastAsia="zh-CN"/>
        </w:rPr>
        <w:t xml:space="preserve">              </w:t>
      </w:r>
      <w:permEnd w:id="45"/>
    </w:p>
    <w:p w14:paraId="354DAB1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账  户：</w:t>
      </w:r>
      <w:permStart w:id="46" w:edGrp="everyone"/>
      <w:r>
        <w:rPr>
          <w:rFonts w:hint="eastAsia" w:ascii="仿宋_GB2312" w:hAnsi="仿宋_GB2312" w:eastAsia="仿宋_GB2312" w:cs="仿宋_GB2312"/>
          <w:sz w:val="32"/>
          <w:szCs w:val="32"/>
          <w:highlight w:val="none"/>
          <w:shd w:val="clear" w:color="auto" w:fill="auto"/>
          <w:lang w:val="en-US" w:eastAsia="zh-CN"/>
        </w:rPr>
        <w:t xml:space="preserve">               </w:t>
      </w:r>
      <w:permEnd w:id="46"/>
    </w:p>
    <w:p w14:paraId="7FA8A3B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账  号：</w:t>
      </w:r>
      <w:permStart w:id="47"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47"/>
    <w:p w14:paraId="039E471B">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委托人</w:t>
      </w:r>
      <w:r>
        <w:rPr>
          <w:rFonts w:hint="eastAsia" w:ascii="仿宋_GB2312" w:hAnsi="仿宋_GB2312" w:eastAsia="仿宋_GB2312" w:cs="仿宋_GB2312"/>
          <w:sz w:val="32"/>
          <w:szCs w:val="32"/>
          <w:highlight w:val="none"/>
          <w:shd w:val="clear" w:color="auto" w:fill="auto"/>
        </w:rPr>
        <w:t>：</w:t>
      </w:r>
      <w:permStart w:id="48" w:edGrp="everyone"/>
      <w:r>
        <w:rPr>
          <w:rFonts w:hint="eastAsia" w:ascii="仿宋_GB2312" w:hAnsi="仿宋_GB2312" w:eastAsia="仿宋_GB2312" w:cs="仿宋_GB2312"/>
          <w:color w:val="000000"/>
          <w:sz w:val="32"/>
          <w:szCs w:val="32"/>
          <w:highlight w:val="none"/>
          <w:shd w:val="clear" w:color="auto" w:fill="auto"/>
          <w:lang w:val="en-US" w:eastAsia="zh-CN"/>
        </w:rPr>
        <w:t>海南省桂林洋公用事业发展有限公司</w:t>
      </w:r>
      <w:permEnd w:id="48"/>
    </w:p>
    <w:p w14:paraId="6A1A882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纳税人识别号：</w:t>
      </w:r>
      <w:permStart w:id="49" w:edGrp="everyone"/>
      <w:r>
        <w:rPr>
          <w:rFonts w:hint="eastAsia" w:ascii="仿宋_GB2312" w:hAnsi="仿宋_GB2312" w:eastAsia="仿宋_GB2312" w:cs="仿宋_GB2312"/>
          <w:color w:val="000000"/>
          <w:sz w:val="32"/>
          <w:szCs w:val="32"/>
          <w:highlight w:val="none"/>
          <w:shd w:val="clear" w:color="auto" w:fill="auto"/>
        </w:rPr>
        <w:t xml:space="preserve">91460100MA5RF8R816 </w:t>
      </w:r>
      <w:permEnd w:id="49"/>
    </w:p>
    <w:p w14:paraId="16E767D1">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地  址：</w:t>
      </w:r>
      <w:permStart w:id="50" w:edGrp="everyone"/>
      <w:r>
        <w:rPr>
          <w:rFonts w:hint="eastAsia" w:ascii="仿宋_GB2312" w:hAnsi="仿宋_GB2312" w:eastAsia="仿宋_GB2312" w:cs="仿宋_GB2312"/>
          <w:color w:val="000000"/>
          <w:sz w:val="32"/>
          <w:szCs w:val="32"/>
          <w:highlight w:val="none"/>
          <w:shd w:val="clear" w:color="auto" w:fill="auto"/>
          <w:lang w:val="en-US" w:eastAsia="zh-CN"/>
        </w:rPr>
        <w:t>海口市桂林洋经济开发区兴洋大道94号</w:t>
      </w:r>
      <w:permEnd w:id="50"/>
    </w:p>
    <w:p w14:paraId="62087734">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电  话：</w:t>
      </w:r>
      <w:permStart w:id="51" w:edGrp="everyone"/>
      <w:r>
        <w:rPr>
          <w:rFonts w:hint="eastAsia" w:ascii="仿宋_GB2312" w:hAnsi="仿宋_GB2312" w:eastAsia="仿宋_GB2312" w:cs="仿宋_GB2312"/>
          <w:color w:val="000000"/>
          <w:sz w:val="32"/>
          <w:szCs w:val="32"/>
          <w:highlight w:val="none"/>
          <w:shd w:val="clear" w:color="auto" w:fill="auto"/>
          <w:lang w:val="en-US" w:eastAsia="zh-CN"/>
        </w:rPr>
        <w:t xml:space="preserve">65710083 </w:t>
      </w:r>
      <w:permEnd w:id="51"/>
    </w:p>
    <w:p w14:paraId="4F32E19A">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每次付款前，</w:t>
      </w:r>
      <w:r>
        <w:rPr>
          <w:rFonts w:hint="eastAsia" w:ascii="仿宋_GB2312" w:hAnsi="仿宋_GB2312" w:eastAsia="仿宋_GB2312" w:cs="仿宋_GB2312"/>
          <w:sz w:val="32"/>
          <w:szCs w:val="32"/>
          <w:highlight w:val="none"/>
          <w:shd w:val="clear" w:color="auto" w:fill="auto"/>
          <w:lang w:val="en-US" w:eastAsia="zh-CN"/>
        </w:rPr>
        <w:t>咨询人</w:t>
      </w:r>
      <w:r>
        <w:rPr>
          <w:rFonts w:hint="eastAsia" w:ascii="仿宋_GB2312" w:hAnsi="仿宋_GB2312" w:eastAsia="仿宋_GB2312" w:cs="仿宋_GB2312"/>
          <w:sz w:val="32"/>
          <w:szCs w:val="32"/>
          <w:highlight w:val="none"/>
          <w:shd w:val="clear" w:color="auto" w:fill="auto"/>
        </w:rPr>
        <w:t>应提供合法有效的增值税专用发票，否则</w:t>
      </w:r>
      <w:r>
        <w:rPr>
          <w:rFonts w:hint="eastAsia" w:ascii="仿宋_GB2312" w:hAnsi="仿宋_GB2312" w:eastAsia="仿宋_GB2312" w:cs="仿宋_GB2312"/>
          <w:sz w:val="32"/>
          <w:szCs w:val="32"/>
          <w:highlight w:val="none"/>
          <w:shd w:val="clear" w:color="auto" w:fill="auto"/>
          <w:lang w:val="en-US" w:eastAsia="zh-CN"/>
        </w:rPr>
        <w:t>发包人</w:t>
      </w:r>
      <w:r>
        <w:rPr>
          <w:rFonts w:hint="eastAsia" w:ascii="仿宋_GB2312" w:hAnsi="仿宋_GB2312" w:eastAsia="仿宋_GB2312" w:cs="仿宋_GB2312"/>
          <w:sz w:val="32"/>
          <w:szCs w:val="32"/>
          <w:highlight w:val="none"/>
          <w:shd w:val="clear" w:color="auto" w:fill="auto"/>
        </w:rPr>
        <w:t>有权延期付款，并不承担任何责任，由此造成的损失由</w:t>
      </w:r>
      <w:r>
        <w:rPr>
          <w:rFonts w:hint="eastAsia" w:ascii="仿宋_GB2312" w:hAnsi="仿宋_GB2312" w:eastAsia="仿宋_GB2312" w:cs="仿宋_GB2312"/>
          <w:sz w:val="32"/>
          <w:szCs w:val="32"/>
          <w:highlight w:val="none"/>
          <w:shd w:val="clear" w:color="auto" w:fill="auto"/>
          <w:lang w:val="en-US" w:eastAsia="zh-CN"/>
        </w:rPr>
        <w:t>咨询人</w:t>
      </w:r>
      <w:r>
        <w:rPr>
          <w:rFonts w:hint="eastAsia" w:ascii="仿宋_GB2312" w:hAnsi="仿宋_GB2312" w:eastAsia="仿宋_GB2312" w:cs="仿宋_GB2312"/>
          <w:sz w:val="32"/>
          <w:szCs w:val="32"/>
          <w:highlight w:val="none"/>
          <w:shd w:val="clear" w:color="auto" w:fill="auto"/>
        </w:rPr>
        <w:t>承担。如遇国家税率调整，则不含税价格不变，合同含税价及税率相应调整，</w:t>
      </w:r>
      <w:r>
        <w:rPr>
          <w:rFonts w:hint="eastAsia" w:ascii="仿宋_GB2312" w:hAnsi="仿宋_GB2312" w:eastAsia="仿宋_GB2312" w:cs="仿宋_GB2312"/>
          <w:sz w:val="32"/>
          <w:szCs w:val="32"/>
          <w:highlight w:val="none"/>
          <w:shd w:val="clear" w:color="auto" w:fill="auto"/>
          <w:lang w:val="en-US" w:eastAsia="zh-CN"/>
        </w:rPr>
        <w:t>咨询人</w:t>
      </w:r>
      <w:r>
        <w:rPr>
          <w:rFonts w:hint="eastAsia" w:ascii="仿宋_GB2312" w:hAnsi="仿宋_GB2312" w:eastAsia="仿宋_GB2312" w:cs="仿宋_GB2312"/>
          <w:sz w:val="32"/>
          <w:szCs w:val="32"/>
          <w:highlight w:val="none"/>
          <w:shd w:val="clear" w:color="auto" w:fill="auto"/>
        </w:rPr>
        <w:t>应按纳税义务发生时的税率开具增值税发票，税率变化导致价税金额的变更应在进度及结算金额中进行调整。</w:t>
      </w:r>
    </w:p>
    <w:p w14:paraId="479E7A1E">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Style w:val="16"/>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lang w:val="en-US" w:eastAsia="zh-CN"/>
        </w:rPr>
        <w:t>七</w:t>
      </w:r>
      <w:r>
        <w:rPr>
          <w:rStyle w:val="16"/>
          <w:rFonts w:hint="eastAsia" w:ascii="黑体" w:hAnsi="黑体" w:eastAsia="黑体" w:cs="黑体"/>
          <w:b w:val="0"/>
          <w:bCs w:val="0"/>
          <w:color w:val="000000"/>
          <w:sz w:val="32"/>
          <w:szCs w:val="32"/>
          <w:highlight w:val="none"/>
          <w:shd w:val="clear" w:color="auto" w:fill="auto"/>
        </w:rPr>
        <w:t>、造价咨询服务驻场要求</w:t>
      </w:r>
    </w:p>
    <w:p w14:paraId="116FDE63">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咨询人按照如下方式 </w:t>
      </w:r>
      <w:permStart w:id="52" w:edGrp="everyone"/>
      <w:r>
        <w:rPr>
          <w:rFonts w:hint="eastAsia" w:ascii="仿宋_GB2312" w:hAnsi="仿宋_GB2312" w:eastAsia="仿宋_GB2312" w:cs="仿宋_GB2312"/>
          <w:color w:val="000000"/>
          <w:sz w:val="32"/>
          <w:szCs w:val="32"/>
          <w:highlight w:val="none"/>
          <w:u w:val="single"/>
          <w:shd w:val="clear" w:color="auto" w:fill="auto"/>
          <w:lang w:val="en-US" w:eastAsia="zh-CN"/>
        </w:rPr>
        <w:t>二</w:t>
      </w:r>
      <w:r>
        <w:rPr>
          <w:rFonts w:hint="eastAsia" w:ascii="仿宋_GB2312" w:hAnsi="仿宋_GB2312" w:eastAsia="仿宋_GB2312" w:cs="仿宋_GB2312"/>
          <w:color w:val="000000"/>
          <w:sz w:val="32"/>
          <w:szCs w:val="32"/>
          <w:highlight w:val="none"/>
          <w:shd w:val="clear" w:color="auto" w:fill="auto"/>
        </w:rPr>
        <w:t xml:space="preserve"> </w:t>
      </w:r>
      <w:permEnd w:id="52"/>
      <w:r>
        <w:rPr>
          <w:rFonts w:hint="eastAsia" w:ascii="仿宋_GB2312" w:hAnsi="仿宋_GB2312" w:eastAsia="仿宋_GB2312" w:cs="仿宋_GB2312"/>
          <w:color w:val="000000"/>
          <w:sz w:val="32"/>
          <w:szCs w:val="32"/>
          <w:highlight w:val="none"/>
          <w:shd w:val="clear" w:color="auto" w:fill="auto"/>
        </w:rPr>
        <w:t>向委托人约定提供造价咨询服务驻场：</w:t>
      </w:r>
    </w:p>
    <w:p w14:paraId="7E721426">
      <w:pPr>
        <w:pStyle w:val="4"/>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方式一：本工程计划开始驻场服务日期（暂定）为</w:t>
      </w:r>
      <w:permStart w:id="53" w:edGrp="everyone"/>
      <w:r>
        <w:rPr>
          <w:rFonts w:hint="eastAsia" w:ascii="仿宋_GB2312" w:hAnsi="仿宋_GB2312" w:eastAsia="仿宋_GB2312" w:cs="仿宋_GB2312"/>
          <w:color w:val="000000"/>
          <w:sz w:val="32"/>
          <w:szCs w:val="32"/>
          <w:highlight w:val="none"/>
          <w:shd w:val="clear" w:color="auto" w:fill="auto"/>
        </w:rPr>
        <w:t xml:space="preserve">    年　  月     日</w:t>
      </w:r>
      <w:permEnd w:id="53"/>
      <w:r>
        <w:rPr>
          <w:rFonts w:hint="eastAsia" w:ascii="仿宋_GB2312" w:hAnsi="仿宋_GB2312" w:eastAsia="仿宋_GB2312" w:cs="仿宋_GB2312"/>
          <w:color w:val="000000"/>
          <w:sz w:val="32"/>
          <w:szCs w:val="32"/>
          <w:highlight w:val="none"/>
          <w:shd w:val="clear" w:color="auto" w:fill="auto"/>
        </w:rPr>
        <w:t>，计划结束驻场服务日期（暂定）为</w:t>
      </w:r>
      <w:permStart w:id="54" w:edGrp="everyone"/>
      <w:r>
        <w:rPr>
          <w:rFonts w:hint="eastAsia" w:ascii="仿宋_GB2312" w:hAnsi="仿宋_GB2312" w:eastAsia="仿宋_GB2312" w:cs="仿宋_GB2312"/>
          <w:color w:val="000000"/>
          <w:sz w:val="32"/>
          <w:szCs w:val="32"/>
          <w:highlight w:val="none"/>
          <w:shd w:val="clear" w:color="auto" w:fill="auto"/>
        </w:rPr>
        <w:t xml:space="preserve">    年  　月　　日</w:t>
      </w:r>
      <w:permEnd w:id="54"/>
      <w:r>
        <w:rPr>
          <w:rFonts w:hint="eastAsia" w:ascii="仿宋_GB2312" w:hAnsi="仿宋_GB2312" w:eastAsia="仿宋_GB2312" w:cs="仿宋_GB2312"/>
          <w:color w:val="000000"/>
          <w:sz w:val="32"/>
          <w:szCs w:val="32"/>
          <w:highlight w:val="none"/>
          <w:shd w:val="clear" w:color="auto" w:fill="auto"/>
        </w:rPr>
        <w:t>（具体日期以委托人书面通知为准），驻场绝对服务期以委托人确定时间为准；若因委托人工作需要服务期及驻场时间需要延长，则咨询人应随时配合（具体日期以委托人书面通知为准），不额外增加服务费用；如果委托方施工中中途停工（以委托方停工令及复工令时间为准），导致工期大幅度延期，实际停工期间，咨询人可不要求驻场办公，需要随时保持联系畅通，随时沟通造价咨询服务工作，即停工期间不驻场但咨询服务工作不停止；</w:t>
      </w:r>
      <w:permStart w:id="55"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55"/>
      <w:r>
        <w:rPr>
          <w:rFonts w:hint="eastAsia" w:ascii="仿宋_GB2312" w:hAnsi="仿宋_GB2312" w:eastAsia="仿宋_GB2312" w:cs="仿宋_GB2312"/>
          <w:color w:val="000000"/>
          <w:sz w:val="32"/>
          <w:szCs w:val="32"/>
          <w:highlight w:val="none"/>
          <w:shd w:val="clear" w:color="auto" w:fill="auto"/>
        </w:rPr>
        <w:t>如驻场人员数量还不满足项目实际需求，咨询人需无条件增加驻场人员。咨询人需要保证造价咨询服务人员工作的连续性，在合同执行阶段，未经委托人同意项目负责人不允许更换，更换项目负责人违约详见专用条款约定。项目负责人及驻场人员的任何变动都必须经过委托人的正式书面同意的回复。委托人不定期对驻场人员进行考核，对考核不合格的驻场人员委托人有权要求更换，咨询人应积极配合。</w:t>
      </w:r>
    </w:p>
    <w:p w14:paraId="24E40B56">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ascii="仿宋" w:hAnsi="仿宋" w:eastAsia="仿宋"/>
          <w:color w:val="000000"/>
          <w:sz w:val="28"/>
          <w:szCs w:val="28"/>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方式二：咨询人无需提供造价咨询服务驻场服务。</w:t>
      </w:r>
    </w:p>
    <w:p w14:paraId="7392D30A">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黑体" w:hAnsi="黑体" w:eastAsia="黑体" w:cs="黑体"/>
          <w:b w:val="0"/>
          <w:bCs w:val="0"/>
          <w:color w:val="000000"/>
          <w:sz w:val="32"/>
          <w:szCs w:val="32"/>
          <w:highlight w:val="none"/>
          <w:shd w:val="clear" w:color="auto" w:fill="auto"/>
        </w:rPr>
      </w:pPr>
      <w:bookmarkStart w:id="16" w:name="_Toc422322476"/>
      <w:bookmarkStart w:id="17" w:name="_Toc419045058"/>
      <w:r>
        <w:rPr>
          <w:rStyle w:val="16"/>
          <w:rFonts w:hint="eastAsia" w:ascii="黑体" w:hAnsi="黑体" w:eastAsia="黑体" w:cs="黑体"/>
          <w:b w:val="0"/>
          <w:bCs w:val="0"/>
          <w:color w:val="000000"/>
          <w:sz w:val="32"/>
          <w:szCs w:val="32"/>
          <w:highlight w:val="none"/>
          <w:shd w:val="clear" w:color="auto" w:fill="auto"/>
          <w:lang w:val="en-US" w:eastAsia="zh-CN"/>
        </w:rPr>
        <w:t>八</w:t>
      </w:r>
      <w:r>
        <w:rPr>
          <w:rStyle w:val="16"/>
          <w:rFonts w:hint="eastAsia" w:ascii="黑体" w:hAnsi="黑体" w:eastAsia="黑体" w:cs="黑体"/>
          <w:b w:val="0"/>
          <w:bCs w:val="0"/>
          <w:color w:val="000000"/>
          <w:sz w:val="32"/>
          <w:szCs w:val="32"/>
          <w:highlight w:val="none"/>
          <w:shd w:val="clear" w:color="auto" w:fill="auto"/>
        </w:rPr>
        <w:t>、合同文件的构成</w:t>
      </w:r>
      <w:bookmarkEnd w:id="16"/>
      <w:bookmarkEnd w:id="17"/>
      <w:bookmarkStart w:id="18" w:name="12"/>
    </w:p>
    <w:p w14:paraId="66B2FF61">
      <w:pPr>
        <w:pStyle w:val="15"/>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本协议书与下列文件一起构成合同文件:</w:t>
      </w:r>
    </w:p>
    <w:p w14:paraId="0822EB39">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1.中标通知书或委托书（如果有）；</w:t>
      </w:r>
    </w:p>
    <w:p w14:paraId="268F3BBA">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2.投标函及投标函附录或造价咨询服务建议书（如果有）；</w:t>
      </w:r>
    </w:p>
    <w:p w14:paraId="03825BCC">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3.专用条件及附录；</w:t>
      </w:r>
    </w:p>
    <w:p w14:paraId="0937E595">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4.通用条件；</w:t>
      </w:r>
    </w:p>
    <w:p w14:paraId="3B6F3055">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5.其他合同文件。</w:t>
      </w:r>
    </w:p>
    <w:p w14:paraId="759F1C21">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上述各项合同文件包括合同当事人就该项合同文件所作出的补充和修改，属于同一类内容的文件，应以最新签署的为准。</w:t>
      </w:r>
    </w:p>
    <w:p w14:paraId="1E26485F">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在合同订立及履行过程中形成的与合同有关的文件（包括补充协议）均构成合同文件的组成部分。</w:t>
      </w:r>
      <w:bookmarkStart w:id="19" w:name="_Toc419045057"/>
      <w:bookmarkStart w:id="20" w:name="_Toc422322477"/>
    </w:p>
    <w:p w14:paraId="5A9729F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lang w:val="en-US" w:eastAsia="zh-CN"/>
        </w:rPr>
        <w:t>九</w:t>
      </w:r>
      <w:r>
        <w:rPr>
          <w:rStyle w:val="16"/>
          <w:rFonts w:hint="eastAsia" w:ascii="黑体" w:hAnsi="黑体" w:eastAsia="黑体" w:cs="黑体"/>
          <w:b w:val="0"/>
          <w:bCs w:val="0"/>
          <w:color w:val="000000"/>
          <w:sz w:val="32"/>
          <w:szCs w:val="32"/>
          <w:highlight w:val="none"/>
          <w:shd w:val="clear" w:color="auto" w:fill="auto"/>
        </w:rPr>
        <w:t>、</w:t>
      </w:r>
      <w:bookmarkStart w:id="21" w:name="8"/>
      <w:r>
        <w:rPr>
          <w:rStyle w:val="16"/>
          <w:rFonts w:hint="eastAsia" w:ascii="黑体" w:hAnsi="黑体" w:eastAsia="黑体" w:cs="黑体"/>
          <w:b w:val="0"/>
          <w:bCs w:val="0"/>
          <w:color w:val="000000"/>
          <w:sz w:val="32"/>
          <w:szCs w:val="32"/>
          <w:highlight w:val="none"/>
          <w:shd w:val="clear" w:color="auto" w:fill="auto"/>
        </w:rPr>
        <w:t>词语</w:t>
      </w:r>
      <w:bookmarkEnd w:id="19"/>
      <w:r>
        <w:rPr>
          <w:rStyle w:val="16"/>
          <w:rFonts w:hint="eastAsia" w:ascii="黑体" w:hAnsi="黑体" w:eastAsia="黑体" w:cs="黑体"/>
          <w:b w:val="0"/>
          <w:bCs w:val="0"/>
          <w:color w:val="000000"/>
          <w:sz w:val="32"/>
          <w:szCs w:val="32"/>
          <w:highlight w:val="none"/>
          <w:shd w:val="clear" w:color="auto" w:fill="auto"/>
        </w:rPr>
        <w:t>定义</w:t>
      </w:r>
      <w:bookmarkEnd w:id="20"/>
    </w:p>
    <w:p w14:paraId="142F4E3D">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协议书中相关词语的含义与通用条件中的定义与解释相同。</w:t>
      </w:r>
      <w:bookmarkEnd w:id="21"/>
      <w:bookmarkStart w:id="22" w:name="_Toc422322478"/>
      <w:bookmarkStart w:id="23" w:name="_Toc419045063"/>
    </w:p>
    <w:p w14:paraId="0B0C6293">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lang w:val="en-US" w:eastAsia="zh-CN"/>
        </w:rPr>
        <w:t>十</w:t>
      </w:r>
      <w:r>
        <w:rPr>
          <w:rStyle w:val="16"/>
          <w:rFonts w:hint="eastAsia" w:ascii="黑体" w:hAnsi="黑体" w:eastAsia="黑体" w:cs="黑体"/>
          <w:b w:val="0"/>
          <w:bCs w:val="0"/>
          <w:color w:val="000000"/>
          <w:sz w:val="32"/>
          <w:szCs w:val="32"/>
          <w:highlight w:val="none"/>
          <w:shd w:val="clear" w:color="auto" w:fill="auto"/>
        </w:rPr>
        <w:t>、合同订立</w:t>
      </w:r>
      <w:bookmarkEnd w:id="22"/>
      <w:bookmarkEnd w:id="23"/>
    </w:p>
    <w:p w14:paraId="3F57F4C2">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1.订立时间：</w:t>
      </w:r>
      <w:permStart w:id="56"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56"/>
      <w:r>
        <w:rPr>
          <w:rFonts w:hint="eastAsia" w:ascii="仿宋_GB2312" w:hAnsi="仿宋_GB2312" w:eastAsia="仿宋_GB2312" w:cs="仿宋_GB2312"/>
          <w:color w:val="000000"/>
          <w:sz w:val="32"/>
          <w:szCs w:val="32"/>
          <w:highlight w:val="none"/>
          <w:shd w:val="clear" w:color="auto" w:fill="auto"/>
        </w:rPr>
        <w:t>年</w:t>
      </w:r>
      <w:permStart w:id="57"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57"/>
      <w:r>
        <w:rPr>
          <w:rFonts w:hint="eastAsia" w:ascii="仿宋_GB2312" w:hAnsi="仿宋_GB2312" w:eastAsia="仿宋_GB2312" w:cs="仿宋_GB2312"/>
          <w:color w:val="000000"/>
          <w:sz w:val="32"/>
          <w:szCs w:val="32"/>
          <w:highlight w:val="none"/>
          <w:shd w:val="clear" w:color="auto" w:fill="auto"/>
        </w:rPr>
        <w:t>月</w:t>
      </w:r>
      <w:permStart w:id="58"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58"/>
      <w:r>
        <w:rPr>
          <w:rFonts w:hint="eastAsia" w:ascii="仿宋_GB2312" w:hAnsi="仿宋_GB2312" w:eastAsia="仿宋_GB2312" w:cs="仿宋_GB2312"/>
          <w:color w:val="000000"/>
          <w:sz w:val="32"/>
          <w:szCs w:val="32"/>
          <w:highlight w:val="none"/>
          <w:shd w:val="clear" w:color="auto" w:fill="auto"/>
        </w:rPr>
        <w:t>日。</w:t>
      </w:r>
    </w:p>
    <w:p w14:paraId="5C9B9D5F">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2.订立地点：</w:t>
      </w:r>
      <w:permStart w:id="59" w:edGrp="everyone"/>
      <w:r>
        <w:rPr>
          <w:rFonts w:hint="eastAsia" w:ascii="仿宋_GB2312" w:hAnsi="仿宋_GB2312" w:eastAsia="仿宋_GB2312" w:cs="仿宋_GB2312"/>
          <w:color w:val="000000"/>
          <w:sz w:val="32"/>
          <w:szCs w:val="32"/>
          <w:highlight w:val="none"/>
          <w:u w:val="single"/>
          <w:shd w:val="clear" w:color="auto" w:fill="auto"/>
        </w:rPr>
        <w:t xml:space="preserve">海南省海口市 </w:t>
      </w:r>
      <w:permEnd w:id="59"/>
      <w:r>
        <w:rPr>
          <w:rFonts w:hint="eastAsia" w:ascii="仿宋_GB2312" w:hAnsi="仿宋_GB2312" w:eastAsia="仿宋_GB2312" w:cs="仿宋_GB2312"/>
          <w:color w:val="000000"/>
          <w:sz w:val="32"/>
          <w:szCs w:val="32"/>
          <w:highlight w:val="none"/>
          <w:shd w:val="clear" w:color="auto" w:fill="auto"/>
        </w:rPr>
        <w:t>。</w:t>
      </w:r>
      <w:bookmarkStart w:id="24" w:name="_Toc422322479"/>
      <w:bookmarkStart w:id="25" w:name="_Toc419045064"/>
    </w:p>
    <w:p w14:paraId="356998D7">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rPr>
        <w:t>十</w:t>
      </w:r>
      <w:r>
        <w:rPr>
          <w:rStyle w:val="16"/>
          <w:rFonts w:hint="eastAsia" w:ascii="黑体" w:hAnsi="黑体" w:eastAsia="黑体" w:cs="黑体"/>
          <w:b w:val="0"/>
          <w:bCs w:val="0"/>
          <w:color w:val="000000"/>
          <w:sz w:val="32"/>
          <w:szCs w:val="32"/>
          <w:highlight w:val="none"/>
          <w:shd w:val="clear" w:color="auto" w:fill="auto"/>
          <w:lang w:val="en-US" w:eastAsia="zh-CN"/>
        </w:rPr>
        <w:t>一</w:t>
      </w:r>
      <w:r>
        <w:rPr>
          <w:rStyle w:val="16"/>
          <w:rFonts w:hint="eastAsia" w:ascii="黑体" w:hAnsi="黑体" w:eastAsia="黑体" w:cs="黑体"/>
          <w:b w:val="0"/>
          <w:bCs w:val="0"/>
          <w:color w:val="000000"/>
          <w:sz w:val="32"/>
          <w:szCs w:val="32"/>
          <w:highlight w:val="none"/>
          <w:shd w:val="clear" w:color="auto" w:fill="auto"/>
        </w:rPr>
        <w:t>、合同生效</w:t>
      </w:r>
      <w:bookmarkEnd w:id="24"/>
      <w:bookmarkEnd w:id="25"/>
    </w:p>
    <w:p w14:paraId="06A8E791">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本合同自双方法定代表人或其授权代理人签字加盖公章或合同章之日起生效。</w:t>
      </w:r>
      <w:r>
        <w:rPr>
          <w:rFonts w:hint="eastAsia" w:ascii="仿宋_GB2312" w:hAnsi="仿宋_GB2312" w:eastAsia="仿宋_GB2312" w:cs="仿宋_GB2312"/>
          <w:color w:val="000000"/>
          <w:sz w:val="32"/>
          <w:szCs w:val="32"/>
          <w:highlight w:val="none"/>
          <w:shd w:val="clear" w:color="auto" w:fill="auto"/>
          <w:lang w:val="en-US" w:eastAsia="zh-CN"/>
        </w:rPr>
        <w:t>如本合同由</w:t>
      </w:r>
      <w:r>
        <w:rPr>
          <w:rFonts w:hint="eastAsia" w:ascii="仿宋_GB2312" w:hAnsi="仿宋_GB2312" w:eastAsia="仿宋_GB2312" w:cs="仿宋_GB2312"/>
          <w:b w:val="0"/>
          <w:color w:val="000000"/>
          <w:sz w:val="32"/>
          <w:szCs w:val="32"/>
          <w:highlight w:val="none"/>
          <w:shd w:val="clear" w:color="auto" w:fill="auto"/>
        </w:rPr>
        <w:t>委托代理人</w:t>
      </w:r>
      <w:r>
        <w:rPr>
          <w:rFonts w:hint="eastAsia" w:ascii="仿宋_GB2312" w:hAnsi="仿宋_GB2312" w:eastAsia="仿宋_GB2312" w:cs="仿宋_GB2312"/>
          <w:b w:val="0"/>
          <w:color w:val="000000"/>
          <w:sz w:val="32"/>
          <w:szCs w:val="32"/>
          <w:highlight w:val="none"/>
          <w:shd w:val="clear" w:color="auto" w:fill="auto"/>
          <w:lang w:val="en-US" w:eastAsia="zh-CN"/>
        </w:rPr>
        <w:t>签署，还应提供法定代表人授权委托书、法定代表人和</w:t>
      </w:r>
      <w:r>
        <w:rPr>
          <w:rFonts w:hint="eastAsia" w:ascii="仿宋_GB2312" w:hAnsi="仿宋_GB2312" w:eastAsia="仿宋_GB2312" w:cs="仿宋_GB2312"/>
          <w:b w:val="0"/>
          <w:color w:val="000000"/>
          <w:sz w:val="32"/>
          <w:szCs w:val="32"/>
          <w:highlight w:val="none"/>
          <w:shd w:val="clear" w:color="auto" w:fill="auto"/>
        </w:rPr>
        <w:t>委托代理人</w:t>
      </w:r>
      <w:r>
        <w:rPr>
          <w:rFonts w:hint="eastAsia" w:ascii="仿宋_GB2312" w:hAnsi="仿宋_GB2312" w:eastAsia="仿宋_GB2312" w:cs="仿宋_GB2312"/>
          <w:b w:val="0"/>
          <w:color w:val="000000"/>
          <w:sz w:val="32"/>
          <w:szCs w:val="32"/>
          <w:highlight w:val="none"/>
          <w:shd w:val="clear" w:color="auto" w:fill="auto"/>
          <w:lang w:val="en-US" w:eastAsia="zh-CN"/>
        </w:rPr>
        <w:t>身份证明和身份证复印件，上述文件均需加盖公章。</w:t>
      </w:r>
    </w:p>
    <w:p w14:paraId="23B6A44F">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rPr>
      </w:pPr>
      <w:bookmarkStart w:id="26" w:name="_Toc419045065"/>
      <w:bookmarkStart w:id="27" w:name="_Toc422322480"/>
      <w:r>
        <w:rPr>
          <w:rStyle w:val="16"/>
          <w:rFonts w:hint="eastAsia" w:ascii="黑体" w:hAnsi="黑体" w:eastAsia="黑体" w:cs="黑体"/>
          <w:b w:val="0"/>
          <w:bCs w:val="0"/>
          <w:color w:val="000000"/>
          <w:sz w:val="32"/>
          <w:szCs w:val="32"/>
          <w:highlight w:val="none"/>
          <w:shd w:val="clear" w:color="auto" w:fill="auto"/>
        </w:rPr>
        <w:t>十</w:t>
      </w:r>
      <w:r>
        <w:rPr>
          <w:rStyle w:val="16"/>
          <w:rFonts w:hint="eastAsia" w:ascii="黑体" w:hAnsi="黑体" w:eastAsia="黑体" w:cs="黑体"/>
          <w:b w:val="0"/>
          <w:bCs w:val="0"/>
          <w:color w:val="000000"/>
          <w:sz w:val="32"/>
          <w:szCs w:val="32"/>
          <w:highlight w:val="none"/>
          <w:shd w:val="clear" w:color="auto" w:fill="auto"/>
          <w:lang w:val="en-US" w:eastAsia="zh-CN"/>
        </w:rPr>
        <w:t>二</w:t>
      </w:r>
      <w:r>
        <w:rPr>
          <w:rStyle w:val="16"/>
          <w:rFonts w:hint="eastAsia" w:ascii="黑体" w:hAnsi="黑体" w:eastAsia="黑体" w:cs="黑体"/>
          <w:b w:val="0"/>
          <w:bCs w:val="0"/>
          <w:color w:val="000000"/>
          <w:sz w:val="32"/>
          <w:szCs w:val="32"/>
          <w:highlight w:val="none"/>
          <w:shd w:val="clear" w:color="auto" w:fill="auto"/>
        </w:rPr>
        <w:t>、合同份数</w:t>
      </w:r>
      <w:bookmarkEnd w:id="26"/>
      <w:bookmarkEnd w:id="27"/>
    </w:p>
    <w:p w14:paraId="51E2E84F">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本合同一式</w:t>
      </w:r>
      <w:permStart w:id="60" w:edGrp="everyone"/>
      <w:r>
        <w:rPr>
          <w:rFonts w:hint="eastAsia" w:ascii="仿宋_GB2312" w:hAnsi="仿宋_GB2312" w:eastAsia="仿宋_GB2312" w:cs="仿宋_GB2312"/>
          <w:color w:val="000000"/>
          <w:kern w:val="0"/>
          <w:sz w:val="32"/>
          <w:szCs w:val="32"/>
          <w:highlight w:val="none"/>
          <w:u w:val="single"/>
          <w:shd w:val="clear" w:color="auto" w:fill="auto"/>
          <w:lang w:val="en-US" w:eastAsia="zh-CN"/>
        </w:rPr>
        <w:t xml:space="preserve">    </w:t>
      </w:r>
      <w:permEnd w:id="60"/>
      <w:r>
        <w:rPr>
          <w:rFonts w:hint="eastAsia" w:ascii="仿宋_GB2312" w:hAnsi="仿宋_GB2312" w:eastAsia="仿宋_GB2312" w:cs="仿宋_GB2312"/>
          <w:color w:val="000000"/>
          <w:sz w:val="32"/>
          <w:szCs w:val="32"/>
          <w:highlight w:val="none"/>
          <w:shd w:val="clear" w:color="auto" w:fill="auto"/>
        </w:rPr>
        <w:t>份，具有同等法律效力，其中委托人执</w:t>
      </w:r>
      <w:permStart w:id="61" w:edGrp="everyone"/>
      <w:r>
        <w:rPr>
          <w:rFonts w:hint="eastAsia" w:ascii="仿宋_GB2312" w:hAnsi="仿宋_GB2312" w:eastAsia="仿宋_GB2312" w:cs="仿宋_GB2312"/>
          <w:color w:val="000000"/>
          <w:kern w:val="0"/>
          <w:sz w:val="32"/>
          <w:szCs w:val="32"/>
          <w:highlight w:val="none"/>
          <w:u w:val="single"/>
          <w:shd w:val="clear" w:color="auto" w:fill="auto"/>
          <w:lang w:val="en-US" w:eastAsia="zh-CN"/>
        </w:rPr>
        <w:t xml:space="preserve">   </w:t>
      </w:r>
      <w:permEnd w:id="61"/>
      <w:r>
        <w:rPr>
          <w:rFonts w:hint="eastAsia" w:ascii="仿宋_GB2312" w:hAnsi="仿宋_GB2312" w:eastAsia="仿宋_GB2312" w:cs="仿宋_GB2312"/>
          <w:color w:val="000000"/>
          <w:sz w:val="32"/>
          <w:szCs w:val="32"/>
          <w:highlight w:val="none"/>
          <w:shd w:val="clear" w:color="auto" w:fill="auto"/>
        </w:rPr>
        <w:t>份，咨询人执</w:t>
      </w:r>
      <w:permStart w:id="62" w:edGrp="everyone"/>
      <w:r>
        <w:rPr>
          <w:rFonts w:hint="eastAsia" w:ascii="仿宋_GB2312" w:hAnsi="仿宋_GB2312" w:eastAsia="仿宋_GB2312" w:cs="仿宋_GB2312"/>
          <w:color w:val="000000"/>
          <w:kern w:val="0"/>
          <w:sz w:val="32"/>
          <w:szCs w:val="32"/>
          <w:highlight w:val="none"/>
          <w:u w:val="single"/>
          <w:shd w:val="clear" w:color="auto" w:fill="auto"/>
          <w:lang w:val="en-US" w:eastAsia="zh-CN"/>
        </w:rPr>
        <w:t xml:space="preserve">    </w:t>
      </w:r>
      <w:permEnd w:id="62"/>
      <w:r>
        <w:rPr>
          <w:rFonts w:hint="eastAsia" w:ascii="仿宋_GB2312" w:hAnsi="仿宋_GB2312" w:eastAsia="仿宋_GB2312" w:cs="仿宋_GB2312"/>
          <w:color w:val="000000"/>
          <w:sz w:val="32"/>
          <w:szCs w:val="32"/>
          <w:highlight w:val="none"/>
          <w:shd w:val="clear" w:color="auto" w:fill="auto"/>
        </w:rPr>
        <w:t>份。</w:t>
      </w:r>
    </w:p>
    <w:p w14:paraId="4D7EBE1B">
      <w:pPr>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lang w:val="en-US" w:eastAsia="zh-CN"/>
        </w:rPr>
      </w:pPr>
      <w:r>
        <w:rPr>
          <w:rStyle w:val="16"/>
          <w:rFonts w:hint="eastAsia" w:ascii="黑体" w:hAnsi="黑体" w:eastAsia="黑体" w:cs="黑体"/>
          <w:b w:val="0"/>
          <w:bCs w:val="0"/>
          <w:color w:val="000000"/>
          <w:sz w:val="32"/>
          <w:szCs w:val="32"/>
          <w:highlight w:val="none"/>
          <w:shd w:val="clear" w:color="auto" w:fill="auto"/>
          <w:lang w:val="en-US" w:eastAsia="zh-CN"/>
        </w:rPr>
        <w:t>十三、通知与送达</w:t>
      </w:r>
    </w:p>
    <w:p w14:paraId="24E61CB2">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w:t>
      </w:r>
      <w:r>
        <w:rPr>
          <w:rFonts w:hint="eastAsia" w:ascii="仿宋_GB2312" w:hAnsi="仿宋_GB2312" w:eastAsia="仿宋_GB2312" w:cs="仿宋_GB2312"/>
          <w:sz w:val="32"/>
          <w:szCs w:val="32"/>
          <w:highlight w:val="none"/>
          <w:shd w:val="clear" w:color="auto" w:fill="auto"/>
          <w:lang w:val="en-US" w:eastAsia="zh-CN"/>
        </w:rPr>
        <w:t>合同</w:t>
      </w:r>
      <w:r>
        <w:rPr>
          <w:rFonts w:ascii="仿宋_GB2312" w:hAnsi="仿宋_GB2312" w:eastAsia="仿宋_GB2312" w:cs="仿宋_GB2312"/>
          <w:sz w:val="32"/>
          <w:szCs w:val="32"/>
          <w:highlight w:val="none"/>
          <w:shd w:val="clear" w:color="auto" w:fill="auto"/>
        </w:rPr>
        <w:t>双方确认各自的合法有效送达地址及联系方式如下（合同履行及争议解决过程中均可按照下列方式进行送达）：</w:t>
      </w:r>
    </w:p>
    <w:p w14:paraId="2AE78C4B">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委托人</w:t>
      </w:r>
      <w:r>
        <w:rPr>
          <w:rFonts w:ascii="仿宋_GB2312" w:hAnsi="仿宋_GB2312" w:eastAsia="仿宋_GB2312" w:cs="仿宋_GB2312"/>
          <w:sz w:val="32"/>
          <w:szCs w:val="32"/>
          <w:highlight w:val="none"/>
          <w:shd w:val="clear" w:color="auto" w:fill="auto"/>
        </w:rPr>
        <w:t>：</w:t>
      </w:r>
      <w:permStart w:id="63" w:edGrp="everyone"/>
      <w:r>
        <w:rPr>
          <w:rFonts w:hint="eastAsia" w:ascii="仿宋_GB2312" w:hAnsi="仿宋_GB2312" w:eastAsia="仿宋_GB2312" w:cs="仿宋_GB2312"/>
          <w:sz w:val="32"/>
          <w:szCs w:val="32"/>
          <w:highlight w:val="none"/>
          <w:shd w:val="clear" w:color="auto" w:fill="auto"/>
          <w:lang w:val="en-US" w:eastAsia="zh-CN"/>
        </w:rPr>
        <w:t xml:space="preserve"> 海南省桂林洋公用事业发展有限公司</w:t>
      </w:r>
    </w:p>
    <w:permEnd w:id="63"/>
    <w:p w14:paraId="0FFDD27F">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ascii="仿宋_GB2312" w:hAnsi="仿宋_GB2312" w:eastAsia="仿宋_GB2312" w:cs="仿宋_GB2312"/>
          <w:sz w:val="32"/>
          <w:szCs w:val="32"/>
          <w:highlight w:val="none"/>
          <w:shd w:val="clear" w:color="auto" w:fill="auto"/>
        </w:rPr>
        <w:t>送达地址：</w:t>
      </w:r>
      <w:permStart w:id="64" w:edGrp="everyone"/>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海口市桂林洋经济开发区兴洋大道94号</w:t>
      </w:r>
      <w:permEnd w:id="64"/>
      <w:r>
        <w:rPr>
          <w:rFonts w:hint="eastAsia" w:ascii="仿宋_GB2312" w:hAnsi="仿宋_GB2312" w:eastAsia="仿宋_GB2312" w:cs="仿宋_GB2312"/>
          <w:sz w:val="32"/>
          <w:szCs w:val="32"/>
          <w:highlight w:val="none"/>
          <w:shd w:val="clear" w:color="auto" w:fill="auto"/>
          <w:lang w:val="en-US" w:eastAsia="zh-CN"/>
        </w:rPr>
        <w:t xml:space="preserve"> </w:t>
      </w:r>
    </w:p>
    <w:p w14:paraId="1780FCEC">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ascii="仿宋_GB2312" w:hAnsi="仿宋_GB2312" w:eastAsia="仿宋_GB2312" w:cs="仿宋_GB2312"/>
          <w:sz w:val="32"/>
          <w:szCs w:val="32"/>
          <w:highlight w:val="none"/>
          <w:shd w:val="clear" w:color="auto" w:fill="auto"/>
        </w:rPr>
        <w:t>收件人：</w:t>
      </w:r>
      <w:permStart w:id="65"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65"/>
    <w:p w14:paraId="4A73B8B5">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ascii="仿宋_GB2312" w:hAnsi="仿宋_GB2312" w:eastAsia="仿宋_GB2312" w:cs="仿宋_GB2312"/>
          <w:sz w:val="32"/>
          <w:szCs w:val="32"/>
          <w:highlight w:val="none"/>
          <w:shd w:val="clear" w:color="auto" w:fill="auto"/>
        </w:rPr>
        <w:t>联系方式：</w:t>
      </w:r>
      <w:permStart w:id="66"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66"/>
    <w:p w14:paraId="5481E2D3">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eastAsia="zh-CN"/>
        </w:rPr>
        <w:t>咨询人</w:t>
      </w:r>
      <w:r>
        <w:rPr>
          <w:rFonts w:ascii="仿宋_GB2312" w:hAnsi="仿宋_GB2312" w:eastAsia="仿宋_GB2312" w:cs="仿宋_GB2312"/>
          <w:sz w:val="32"/>
          <w:szCs w:val="32"/>
          <w:highlight w:val="none"/>
          <w:shd w:val="clear" w:color="auto" w:fill="auto"/>
        </w:rPr>
        <w:t>：</w:t>
      </w:r>
      <w:permStart w:id="67"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67"/>
    <w:p w14:paraId="15E7A826">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ascii="仿宋_GB2312" w:hAnsi="仿宋_GB2312" w:eastAsia="仿宋_GB2312" w:cs="仿宋_GB2312"/>
          <w:sz w:val="32"/>
          <w:szCs w:val="32"/>
          <w:highlight w:val="none"/>
          <w:shd w:val="clear" w:color="auto" w:fill="auto"/>
        </w:rPr>
        <w:t>送达地址：</w:t>
      </w:r>
      <w:permStart w:id="68"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68"/>
    <w:p w14:paraId="732A7811">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ascii="仿宋_GB2312" w:hAnsi="仿宋_GB2312" w:eastAsia="仿宋_GB2312" w:cs="仿宋_GB2312"/>
          <w:sz w:val="32"/>
          <w:szCs w:val="32"/>
          <w:highlight w:val="none"/>
          <w:shd w:val="clear" w:color="auto" w:fill="auto"/>
        </w:rPr>
        <w:t>收件人：</w:t>
      </w:r>
      <w:permStart w:id="69" w:edGrp="everyone"/>
      <w:r>
        <w:rPr>
          <w:rFonts w:hint="eastAsia" w:ascii="仿宋_GB2312" w:hAnsi="仿宋_GB2312" w:eastAsia="仿宋_GB2312" w:cs="仿宋_GB2312"/>
          <w:sz w:val="32"/>
          <w:szCs w:val="32"/>
          <w:highlight w:val="none"/>
          <w:shd w:val="clear" w:color="auto" w:fill="auto"/>
          <w:lang w:val="en-US" w:eastAsia="zh-CN"/>
        </w:rPr>
        <w:t xml:space="preserve">               </w:t>
      </w:r>
      <w:permEnd w:id="69"/>
    </w:p>
    <w:p w14:paraId="3F4D2235">
      <w:pPr>
        <w:spacing w:line="560" w:lineRule="exact"/>
        <w:ind w:firstLine="640" w:firstLineChars="200"/>
        <w:rPr>
          <w:rFonts w:hint="default" w:ascii="仿宋_GB2312" w:hAnsi="仿宋_GB2312" w:eastAsia="仿宋_GB2312" w:cs="仿宋_GB2312"/>
          <w:sz w:val="32"/>
          <w:szCs w:val="32"/>
          <w:highlight w:val="none"/>
          <w:shd w:val="clear" w:color="auto" w:fill="auto"/>
          <w:lang w:val="en-US" w:eastAsia="zh-CN"/>
        </w:rPr>
      </w:pPr>
      <w:r>
        <w:rPr>
          <w:rFonts w:ascii="仿宋_GB2312" w:hAnsi="仿宋_GB2312" w:eastAsia="仿宋_GB2312" w:cs="仿宋_GB2312"/>
          <w:sz w:val="32"/>
          <w:szCs w:val="32"/>
          <w:highlight w:val="none"/>
          <w:shd w:val="clear" w:color="auto" w:fill="auto"/>
        </w:rPr>
        <w:t>联系方式：</w:t>
      </w:r>
      <w:permStart w:id="70" w:edGrp="everyone"/>
      <w:r>
        <w:rPr>
          <w:rFonts w:hint="eastAsia" w:ascii="仿宋_GB2312" w:hAnsi="仿宋_GB2312" w:eastAsia="仿宋_GB2312" w:cs="仿宋_GB2312"/>
          <w:sz w:val="32"/>
          <w:szCs w:val="32"/>
          <w:highlight w:val="none"/>
          <w:shd w:val="clear" w:color="auto" w:fill="auto"/>
          <w:lang w:val="en-US" w:eastAsia="zh-CN"/>
        </w:rPr>
        <w:t xml:space="preserve">            </w:t>
      </w:r>
    </w:p>
    <w:permEnd w:id="70"/>
    <w:p w14:paraId="0D2612D0">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w:t>
      </w:r>
      <w:r>
        <w:rPr>
          <w:rFonts w:ascii="仿宋_GB2312" w:hAnsi="仿宋_GB2312" w:eastAsia="仿宋_GB2312" w:cs="仿宋_GB2312"/>
          <w:sz w:val="32"/>
          <w:szCs w:val="32"/>
          <w:highlight w:val="none"/>
          <w:shd w:val="clear" w:color="auto" w:fill="auto"/>
        </w:rPr>
        <w:t>一方变更名称、地址、联系人或联系方式的，应当在变更后</w:t>
      </w:r>
      <w:permStart w:id="71" w:edGrp="everyone"/>
      <w:r>
        <w:rPr>
          <w:rFonts w:hint="eastAsia" w:ascii="仿宋_GB2312" w:hAnsi="仿宋_GB2312" w:eastAsia="仿宋_GB2312" w:cs="仿宋_GB2312"/>
          <w:sz w:val="32"/>
          <w:szCs w:val="32"/>
          <w:highlight w:val="none"/>
          <w:shd w:val="clear" w:color="auto" w:fill="auto"/>
        </w:rPr>
        <w:t>[2]</w:t>
      </w:r>
      <w:permEnd w:id="71"/>
      <w:r>
        <w:rPr>
          <w:rFonts w:ascii="仿宋_GB2312" w:hAnsi="仿宋_GB2312" w:eastAsia="仿宋_GB2312" w:cs="仿宋_GB2312"/>
          <w:sz w:val="32"/>
          <w:szCs w:val="32"/>
          <w:highlight w:val="none"/>
          <w:shd w:val="clear" w:color="auto" w:fill="auto"/>
        </w:rPr>
        <w:t>日内及时书面通知对方当事人，对方当事人实际收到变更通知前的送达仍为有效送达，</w:t>
      </w:r>
      <w:r>
        <w:rPr>
          <w:rFonts w:hint="eastAsia" w:ascii="仿宋_GB2312" w:hAnsi="仿宋_GB2312" w:eastAsia="仿宋_GB2312" w:cs="仿宋_GB2312"/>
          <w:sz w:val="32"/>
          <w:szCs w:val="32"/>
          <w:highlight w:val="none"/>
          <w:shd w:val="clear" w:color="auto" w:fill="auto"/>
        </w:rPr>
        <w:t>电子</w:t>
      </w:r>
      <w:r>
        <w:rPr>
          <w:rFonts w:ascii="仿宋_GB2312" w:hAnsi="仿宋_GB2312" w:eastAsia="仿宋_GB2312" w:cs="仿宋_GB2312"/>
          <w:sz w:val="32"/>
          <w:szCs w:val="32"/>
          <w:highlight w:val="none"/>
          <w:shd w:val="clear" w:color="auto" w:fill="auto"/>
        </w:rPr>
        <w:t>送达与书面送达具有同等法律效力。变更方未及时通知的，对方当事人按照变更前的信息进行送达的仍视为有效送达，因此产生的不利后果由变更方承担。</w:t>
      </w:r>
    </w:p>
    <w:p w14:paraId="08AC7AF3">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w:t>
      </w:r>
      <w:r>
        <w:rPr>
          <w:rFonts w:ascii="仿宋_GB2312" w:hAnsi="仿宋_GB2312" w:eastAsia="仿宋_GB2312" w:cs="仿宋_GB2312"/>
          <w:sz w:val="32"/>
          <w:szCs w:val="32"/>
          <w:highlight w:val="none"/>
          <w:shd w:val="clear" w:color="auto" w:fill="auto"/>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highlight w:val="none"/>
          <w:shd w:val="clear" w:color="auto" w:fill="auto"/>
        </w:rPr>
        <w:t>日期</w:t>
      </w:r>
      <w:r>
        <w:rPr>
          <w:rFonts w:ascii="仿宋_GB2312" w:hAnsi="仿宋_GB2312" w:eastAsia="仿宋_GB2312" w:cs="仿宋_GB2312"/>
          <w:sz w:val="32"/>
          <w:szCs w:val="32"/>
          <w:highlight w:val="none"/>
          <w:shd w:val="clear" w:color="auto" w:fill="auto"/>
        </w:rPr>
        <w:t>。被送达方拒收或无法送达的，由交邮后第</w:t>
      </w:r>
      <w:permStart w:id="72" w:edGrp="everyone"/>
      <w:r>
        <w:rPr>
          <w:rFonts w:ascii="仿宋_GB2312" w:hAnsi="仿宋_GB2312" w:eastAsia="仿宋_GB2312" w:cs="仿宋_GB2312"/>
          <w:sz w:val="32"/>
          <w:szCs w:val="32"/>
          <w:highlight w:val="none"/>
          <w:shd w:val="clear" w:color="auto" w:fill="auto"/>
        </w:rPr>
        <w:t>x</w:t>
      </w:r>
      <w:permEnd w:id="72"/>
      <w:r>
        <w:rPr>
          <w:rFonts w:ascii="仿宋_GB2312" w:hAnsi="仿宋_GB2312" w:eastAsia="仿宋_GB2312" w:cs="仿宋_GB2312"/>
          <w:sz w:val="32"/>
          <w:szCs w:val="32"/>
          <w:highlight w:val="none"/>
          <w:shd w:val="clear" w:color="auto" w:fill="auto"/>
        </w:rPr>
        <w:t>日视为已经送达。通过电子文件送达的，自前述电子文件内容在发送方正确填写地址</w:t>
      </w:r>
      <w:r>
        <w:rPr>
          <w:rFonts w:hint="eastAsia" w:ascii="仿宋_GB2312" w:hAnsi="仿宋_GB2312" w:eastAsia="仿宋_GB2312" w:cs="仿宋_GB2312"/>
          <w:sz w:val="32"/>
          <w:szCs w:val="32"/>
          <w:highlight w:val="none"/>
          <w:shd w:val="clear" w:color="auto" w:fill="auto"/>
        </w:rPr>
        <w:t>且</w:t>
      </w:r>
      <w:r>
        <w:rPr>
          <w:rFonts w:ascii="仿宋_GB2312" w:hAnsi="仿宋_GB2312" w:eastAsia="仿宋_GB2312" w:cs="仿宋_GB2312"/>
          <w:sz w:val="32"/>
          <w:szCs w:val="32"/>
          <w:highlight w:val="none"/>
          <w:shd w:val="clear" w:color="auto" w:fill="auto"/>
        </w:rPr>
        <w:t>被系统退回的情况下，自文件进入对方数据电文接收系统即视为送达，若送达日为非工作日，则在下一个工作日视为已经送达。</w:t>
      </w:r>
    </w:p>
    <w:p w14:paraId="7AC0BB1C">
      <w:pPr>
        <w:spacing w:line="560" w:lineRule="exact"/>
        <w:ind w:firstLine="640" w:firstLineChars="200"/>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4.</w:t>
      </w:r>
      <w:r>
        <w:rPr>
          <w:rFonts w:ascii="仿宋_GB2312" w:hAnsi="仿宋_GB2312" w:eastAsia="仿宋_GB2312" w:cs="仿宋_GB2312"/>
          <w:sz w:val="32"/>
          <w:szCs w:val="32"/>
          <w:highlight w:val="none"/>
          <w:shd w:val="clear" w:color="auto" w:fill="auto"/>
        </w:rPr>
        <w:t>本条款为独立系款，不受合同整体或其他</w:t>
      </w:r>
      <w:r>
        <w:rPr>
          <w:rFonts w:hint="eastAsia" w:ascii="仿宋_GB2312" w:hAnsi="仿宋_GB2312" w:eastAsia="仿宋_GB2312" w:cs="仿宋_GB2312"/>
          <w:sz w:val="32"/>
          <w:szCs w:val="32"/>
          <w:highlight w:val="none"/>
          <w:shd w:val="clear" w:color="auto" w:fill="auto"/>
        </w:rPr>
        <w:t>条款</w:t>
      </w:r>
      <w:r>
        <w:rPr>
          <w:rFonts w:ascii="仿宋_GB2312" w:hAnsi="仿宋_GB2312" w:eastAsia="仿宋_GB2312" w:cs="仿宋_GB2312"/>
          <w:sz w:val="32"/>
          <w:szCs w:val="32"/>
          <w:highlight w:val="none"/>
          <w:shd w:val="clear" w:color="auto" w:fill="auto"/>
        </w:rPr>
        <w:t>的效力的影响，始终有效。</w:t>
      </w:r>
    </w:p>
    <w:p w14:paraId="72F24397">
      <w:pPr>
        <w:spacing w:line="560" w:lineRule="exact"/>
        <w:ind w:firstLine="640" w:firstLineChars="200"/>
        <w:rPr>
          <w:rFonts w:hint="eastAsia" w:ascii="黑体" w:hAnsi="黑体" w:eastAsia="黑体" w:cs="黑体"/>
          <w:sz w:val="32"/>
          <w:szCs w:val="32"/>
          <w:highlight w:val="none"/>
          <w:shd w:val="clear" w:color="auto" w:fill="auto"/>
        </w:rPr>
      </w:pPr>
      <w:r>
        <w:rPr>
          <w:rFonts w:hint="eastAsia" w:ascii="黑体" w:hAnsi="黑体" w:eastAsia="黑体" w:cs="黑体"/>
          <w:sz w:val="32"/>
          <w:szCs w:val="32"/>
          <w:highlight w:val="none"/>
          <w:shd w:val="clear" w:color="auto" w:fill="auto"/>
          <w:lang w:val="en-US" w:eastAsia="zh-CN"/>
        </w:rPr>
        <w:t>十四</w:t>
      </w:r>
      <w:r>
        <w:rPr>
          <w:rFonts w:hint="eastAsia" w:ascii="黑体" w:hAnsi="黑体" w:eastAsia="黑体" w:cs="黑体"/>
          <w:sz w:val="32"/>
          <w:szCs w:val="32"/>
          <w:highlight w:val="none"/>
          <w:shd w:val="clear" w:color="auto" w:fill="auto"/>
        </w:rPr>
        <w:t xml:space="preserve"> 其他</w:t>
      </w:r>
    </w:p>
    <w:p w14:paraId="5317F941">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1.本合同未尽事宜，双方可另行签订补充协议，补充协议与本合同具有同等法律效力。</w:t>
      </w:r>
    </w:p>
    <w:p w14:paraId="59C22720">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2.本合同自双方法定代表人或授权代表人签字并盖章之日起生效，有效期至</w:t>
      </w:r>
      <w:permStart w:id="73" w:edGrp="everyone"/>
      <w:r>
        <w:rPr>
          <w:rFonts w:hint="eastAsia" w:ascii="仿宋_GB2312" w:hAnsi="仿宋_GB2312" w:eastAsia="仿宋_GB2312" w:cs="仿宋_GB2312"/>
          <w:sz w:val="32"/>
          <w:szCs w:val="32"/>
          <w:highlight w:val="none"/>
          <w:shd w:val="clear" w:color="auto" w:fill="auto"/>
        </w:rPr>
        <w:t>[合同终止条件或具体日期]</w:t>
      </w:r>
      <w:permEnd w:id="73"/>
      <w:r>
        <w:rPr>
          <w:rFonts w:hint="eastAsia" w:ascii="仿宋_GB2312" w:hAnsi="仿宋_GB2312" w:eastAsia="仿宋_GB2312" w:cs="仿宋_GB2312"/>
          <w:sz w:val="32"/>
          <w:szCs w:val="32"/>
          <w:highlight w:val="none"/>
          <w:shd w:val="clear" w:color="auto" w:fill="auto"/>
        </w:rPr>
        <w:t>。</w:t>
      </w:r>
    </w:p>
    <w:p w14:paraId="1EF6C5B4">
      <w:pPr>
        <w:pStyle w:val="15"/>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p>
    <w:p w14:paraId="194C5EDD">
      <w:pPr>
        <w:pageBreakBefore w:val="0"/>
        <w:widowControl/>
        <w:kinsoku/>
        <w:wordWrap/>
        <w:overflowPunct/>
        <w:topLinePunct w:val="0"/>
        <w:bidi w:val="0"/>
        <w:spacing w:line="560" w:lineRule="exact"/>
        <w:jc w:val="left"/>
        <w:textAlignment w:val="auto"/>
        <w:rPr>
          <w:rFonts w:ascii="仿宋" w:hAnsi="仿宋" w:eastAsia="仿宋"/>
          <w:color w:val="000000"/>
          <w:sz w:val="28"/>
          <w:szCs w:val="28"/>
          <w:highlight w:val="none"/>
          <w:shd w:val="clear" w:color="auto" w:fill="auto"/>
        </w:rPr>
      </w:pPr>
      <w:r>
        <w:rPr>
          <w:rFonts w:ascii="仿宋" w:hAnsi="仿宋" w:eastAsia="仿宋"/>
          <w:color w:val="000000"/>
          <w:sz w:val="28"/>
          <w:szCs w:val="28"/>
          <w:highlight w:val="none"/>
          <w:shd w:val="clear" w:color="auto" w:fill="auto"/>
        </w:rPr>
        <w:br w:type="page"/>
      </w:r>
    </w:p>
    <w:tbl>
      <w:tblPr>
        <w:tblStyle w:val="9"/>
        <w:tblW w:w="4998" w:type="pct"/>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212"/>
        <w:gridCol w:w="4307"/>
      </w:tblGrid>
      <w:tr w14:paraId="3AD42AE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1388" w:hRule="atLeast"/>
        </w:trPr>
        <w:tc>
          <w:tcPr>
            <w:tcW w:w="2472" w:type="pct"/>
            <w:noWrap w:val="0"/>
            <w:vAlign w:val="center"/>
          </w:tcPr>
          <w:p w14:paraId="550D158A">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shd w:val="clear" w:color="auto" w:fill="auto"/>
              </w:rPr>
            </w:pPr>
            <w:permStart w:id="74" w:edGrp="everyone" w:colFirst="0" w:colLast="0"/>
            <w:permStart w:id="75" w:edGrp="everyone" w:colFirst="1" w:colLast="1"/>
            <w:r>
              <w:rPr>
                <w:rFonts w:hint="eastAsia" w:ascii="仿宋_GB2312" w:hAnsi="仿宋_GB2312" w:eastAsia="仿宋_GB2312" w:cs="仿宋_GB2312"/>
                <w:b w:val="0"/>
                <w:bCs/>
                <w:sz w:val="32"/>
                <w:szCs w:val="32"/>
                <w:highlight w:val="none"/>
                <w:shd w:val="clear" w:color="auto" w:fill="auto"/>
              </w:rPr>
              <w:t>委托人：（印章）</w:t>
            </w:r>
          </w:p>
          <w:p w14:paraId="53037BCB">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shd w:val="clear" w:color="auto" w:fill="auto"/>
              </w:rPr>
            </w:pPr>
            <w:r>
              <w:rPr>
                <w:rFonts w:hint="eastAsia" w:ascii="仿宋_GB2312" w:hAnsi="仿宋_GB2312" w:eastAsia="仿宋_GB2312" w:cs="仿宋_GB2312"/>
                <w:b w:val="0"/>
                <w:bCs/>
                <w:sz w:val="32"/>
                <w:szCs w:val="32"/>
                <w:highlight w:val="none"/>
                <w:shd w:val="clear" w:color="auto" w:fill="auto"/>
                <w:lang w:eastAsia="zh-CN"/>
              </w:rPr>
              <w:t>海南省桂林洋公用事业发展有限公司</w:t>
            </w:r>
            <w:r>
              <w:rPr>
                <w:rFonts w:hint="eastAsia" w:ascii="仿宋_GB2312" w:hAnsi="仿宋_GB2312" w:eastAsia="仿宋_GB2312" w:cs="仿宋_GB2312"/>
                <w:b w:val="0"/>
                <w:bCs/>
                <w:sz w:val="32"/>
                <w:szCs w:val="32"/>
                <w:highlight w:val="none"/>
                <w:shd w:val="clear" w:color="auto" w:fill="auto"/>
              </w:rPr>
              <w:t xml:space="preserve">      </w:t>
            </w:r>
          </w:p>
        </w:tc>
        <w:tc>
          <w:tcPr>
            <w:tcW w:w="2527" w:type="pct"/>
            <w:noWrap w:val="0"/>
            <w:vAlign w:val="center"/>
          </w:tcPr>
          <w:p w14:paraId="624CBB55">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u w:val="single"/>
                <w:shd w:val="clear" w:color="auto" w:fill="auto"/>
              </w:rPr>
            </w:pPr>
            <w:r>
              <w:rPr>
                <w:rFonts w:hint="eastAsia" w:ascii="仿宋_GB2312" w:hAnsi="仿宋_GB2312" w:eastAsia="仿宋_GB2312" w:cs="仿宋_GB2312"/>
                <w:b w:val="0"/>
                <w:bCs/>
                <w:sz w:val="32"/>
                <w:szCs w:val="32"/>
                <w:highlight w:val="none"/>
                <w:shd w:val="clear" w:color="auto" w:fill="auto"/>
              </w:rPr>
              <w:t xml:space="preserve">咨询人：（印章） </w:t>
            </w:r>
            <w:r>
              <w:rPr>
                <w:rFonts w:hint="eastAsia" w:ascii="仿宋_GB2312" w:hAnsi="仿宋_GB2312" w:eastAsia="仿宋_GB2312" w:cs="仿宋_GB2312"/>
                <w:b w:val="0"/>
                <w:bCs/>
                <w:sz w:val="32"/>
                <w:szCs w:val="32"/>
                <w:highlight w:val="none"/>
                <w:shd w:val="clear" w:color="auto" w:fill="auto"/>
              </w:rPr>
              <w:br w:type="textWrapping"/>
            </w:r>
            <w:r>
              <w:rPr>
                <w:rFonts w:hint="eastAsia" w:ascii="仿宋_GB2312" w:hAnsi="仿宋_GB2312" w:eastAsia="仿宋_GB2312" w:cs="仿宋_GB2312"/>
                <w:b w:val="0"/>
                <w:bCs/>
                <w:sz w:val="32"/>
                <w:szCs w:val="32"/>
                <w:highlight w:val="none"/>
                <w:shd w:val="clear" w:color="auto" w:fill="auto"/>
              </w:rPr>
              <w:t xml:space="preserve">    </w:t>
            </w:r>
          </w:p>
        </w:tc>
      </w:tr>
      <w:permEnd w:id="74"/>
      <w:permEnd w:id="75"/>
      <w:tr w14:paraId="53868DAC">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2472" w:type="pct"/>
            <w:noWrap w:val="0"/>
            <w:vAlign w:val="center"/>
          </w:tcPr>
          <w:p w14:paraId="201E4073">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shd w:val="clear" w:color="auto" w:fill="auto"/>
              </w:rPr>
            </w:pPr>
            <w:permStart w:id="76" w:edGrp="everyone" w:colFirst="0" w:colLast="0"/>
            <w:permStart w:id="77" w:edGrp="everyone" w:colFirst="1" w:colLast="1"/>
            <w:r>
              <w:rPr>
                <w:rFonts w:hint="eastAsia" w:ascii="仿宋_GB2312" w:hAnsi="仿宋_GB2312" w:eastAsia="仿宋_GB2312" w:cs="仿宋_GB2312"/>
                <w:b w:val="0"/>
                <w:bCs/>
                <w:sz w:val="32"/>
                <w:szCs w:val="32"/>
                <w:highlight w:val="none"/>
                <w:shd w:val="clear" w:color="auto" w:fill="auto"/>
              </w:rPr>
              <w:t>法定代表人或其委托代理人：（签字）</w:t>
            </w:r>
          </w:p>
        </w:tc>
        <w:tc>
          <w:tcPr>
            <w:tcW w:w="2527" w:type="pct"/>
            <w:noWrap w:val="0"/>
            <w:vAlign w:val="center"/>
          </w:tcPr>
          <w:p w14:paraId="2667AF81">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shd w:val="clear" w:color="auto" w:fill="auto"/>
              </w:rPr>
            </w:pPr>
            <w:r>
              <w:rPr>
                <w:rFonts w:hint="eastAsia" w:ascii="仿宋_GB2312" w:hAnsi="仿宋_GB2312" w:eastAsia="仿宋_GB2312" w:cs="仿宋_GB2312"/>
                <w:b w:val="0"/>
                <w:bCs/>
                <w:sz w:val="32"/>
                <w:szCs w:val="32"/>
                <w:highlight w:val="none"/>
                <w:shd w:val="clear" w:color="auto" w:fill="auto"/>
              </w:rPr>
              <w:t>法定代表人或其委托代理人：（签字）</w:t>
            </w:r>
          </w:p>
        </w:tc>
      </w:tr>
      <w:permEnd w:id="76"/>
      <w:permEnd w:id="77"/>
      <w:tr w14:paraId="52336E8E">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70" w:hRule="atLeast"/>
        </w:trPr>
        <w:tc>
          <w:tcPr>
            <w:tcW w:w="2472" w:type="pct"/>
            <w:noWrap w:val="0"/>
            <w:vAlign w:val="center"/>
          </w:tcPr>
          <w:p w14:paraId="281DA438">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shd w:val="clear" w:color="auto" w:fill="auto"/>
                <w:lang w:val="en-US" w:eastAsia="zh-CN"/>
              </w:rPr>
            </w:pPr>
            <w:permStart w:id="78" w:edGrp="everyone" w:colFirst="0" w:colLast="0"/>
            <w:permStart w:id="79" w:edGrp="everyone" w:colFirst="1" w:colLast="1"/>
            <w:r>
              <w:rPr>
                <w:rFonts w:hint="eastAsia" w:ascii="仿宋_GB2312" w:hAnsi="仿宋_GB2312" w:eastAsia="仿宋_GB2312" w:cs="仿宋_GB2312"/>
                <w:b w:val="0"/>
                <w:bCs/>
                <w:sz w:val="32"/>
                <w:szCs w:val="32"/>
                <w:highlight w:val="none"/>
                <w:shd w:val="clear" w:color="auto" w:fill="auto"/>
                <w:lang w:val="en-US" w:eastAsia="zh-CN"/>
              </w:rPr>
              <w:t>经办人：（签字）</w:t>
            </w:r>
          </w:p>
        </w:tc>
        <w:tc>
          <w:tcPr>
            <w:tcW w:w="2527" w:type="pct"/>
            <w:noWrap w:val="0"/>
            <w:vAlign w:val="center"/>
          </w:tcPr>
          <w:p w14:paraId="69D34226">
            <w:pPr>
              <w:pageBreakBefore w:val="0"/>
              <w:kinsoku/>
              <w:wordWrap/>
              <w:overflowPunct/>
              <w:topLinePunct w:val="0"/>
              <w:bidi w:val="0"/>
              <w:spacing w:line="560" w:lineRule="exact"/>
              <w:textAlignment w:val="auto"/>
              <w:rPr>
                <w:rFonts w:hint="eastAsia" w:ascii="仿宋_GB2312" w:hAnsi="仿宋_GB2312" w:eastAsia="仿宋_GB2312" w:cs="仿宋_GB2312"/>
                <w:b w:val="0"/>
                <w:bCs/>
                <w:sz w:val="32"/>
                <w:szCs w:val="32"/>
                <w:highlight w:val="none"/>
                <w:shd w:val="clear" w:color="auto" w:fill="auto"/>
                <w:lang w:val="en-US" w:eastAsia="zh-CN"/>
              </w:rPr>
            </w:pPr>
            <w:r>
              <w:rPr>
                <w:rFonts w:hint="eastAsia" w:ascii="仿宋_GB2312" w:hAnsi="仿宋_GB2312" w:eastAsia="仿宋_GB2312" w:cs="仿宋_GB2312"/>
                <w:b w:val="0"/>
                <w:bCs/>
                <w:sz w:val="32"/>
                <w:szCs w:val="32"/>
                <w:highlight w:val="none"/>
                <w:shd w:val="clear" w:color="auto" w:fill="auto"/>
                <w:lang w:val="en-US" w:eastAsia="zh-CN"/>
              </w:rPr>
              <w:t>经办人：（签字）</w:t>
            </w:r>
          </w:p>
        </w:tc>
      </w:tr>
      <w:permEnd w:id="78"/>
      <w:permEnd w:id="79"/>
      <w:tr w14:paraId="4E6A5FCA">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741" w:hRule="atLeast"/>
        </w:trPr>
        <w:tc>
          <w:tcPr>
            <w:tcW w:w="5000" w:type="pct"/>
            <w:gridSpan w:val="2"/>
            <w:noWrap w:val="0"/>
            <w:vAlign w:val="center"/>
          </w:tcPr>
          <w:p w14:paraId="4FC9BECD">
            <w:pPr>
              <w:pageBreakBefore w:val="0"/>
              <w:kinsoku/>
              <w:wordWrap/>
              <w:overflowPunct/>
              <w:topLinePunct w:val="0"/>
              <w:bidi w:val="0"/>
              <w:spacing w:line="560" w:lineRule="exact"/>
              <w:jc w:val="left"/>
              <w:textAlignment w:val="auto"/>
              <w:rPr>
                <w:rFonts w:hint="eastAsia" w:ascii="仿宋_GB2312" w:hAnsi="仿宋_GB2312" w:eastAsia="仿宋_GB2312" w:cs="仿宋_GB2312"/>
                <w:b w:val="0"/>
                <w:bCs/>
                <w:sz w:val="32"/>
                <w:szCs w:val="32"/>
                <w:highlight w:val="none"/>
                <w:shd w:val="clear" w:color="auto" w:fill="auto"/>
              </w:rPr>
            </w:pPr>
            <w:permStart w:id="80" w:edGrp="everyone" w:colFirst="0" w:colLast="0"/>
            <w:r>
              <w:rPr>
                <w:rFonts w:hint="eastAsia" w:ascii="仿宋_GB2312" w:hAnsi="仿宋_GB2312" w:eastAsia="仿宋_GB2312" w:cs="仿宋_GB2312"/>
                <w:b w:val="0"/>
                <w:bCs/>
                <w:sz w:val="32"/>
                <w:szCs w:val="32"/>
                <w:highlight w:val="none"/>
                <w:shd w:val="clear" w:color="auto" w:fill="auto"/>
                <w:lang w:val="en-US" w:eastAsia="zh-CN"/>
              </w:rPr>
              <w:t xml:space="preserve">  备注:咨询人委托咨询代理人：</w:t>
            </w:r>
            <w:r>
              <w:rPr>
                <w:rFonts w:hint="eastAsia" w:ascii="仿宋_GB2312" w:hAnsi="仿宋_GB2312" w:eastAsia="仿宋_GB2312" w:cs="仿宋_GB2312"/>
                <w:b w:val="0"/>
                <w:bCs/>
                <w:sz w:val="32"/>
                <w:szCs w:val="32"/>
                <w:highlight w:val="none"/>
                <w:u w:val="single"/>
                <w:shd w:val="clear" w:color="auto" w:fill="auto"/>
                <w:lang w:val="en-US" w:eastAsia="zh-CN"/>
              </w:rPr>
              <w:t xml:space="preserve">          </w:t>
            </w:r>
            <w:r>
              <w:rPr>
                <w:rFonts w:hint="eastAsia" w:ascii="仿宋_GB2312" w:hAnsi="仿宋_GB2312" w:eastAsia="仿宋_GB2312" w:cs="仿宋_GB2312"/>
                <w:b w:val="0"/>
                <w:bCs/>
                <w:sz w:val="32"/>
                <w:szCs w:val="32"/>
                <w:highlight w:val="none"/>
                <w:shd w:val="clear" w:color="auto" w:fill="auto"/>
                <w:lang w:val="en-US" w:eastAsia="zh-CN"/>
              </w:rPr>
              <w:t>为授权代理人，代其向委托人开具发票及收取该合同约定的费用。</w:t>
            </w:r>
          </w:p>
        </w:tc>
      </w:tr>
      <w:permEnd w:id="80"/>
    </w:tbl>
    <w:p w14:paraId="27211EDF">
      <w:pPr>
        <w:pStyle w:val="15"/>
        <w:pageBreakBefore w:val="0"/>
        <w:kinsoku/>
        <w:wordWrap/>
        <w:overflowPunct/>
        <w:topLinePunct w:val="0"/>
        <w:bidi w:val="0"/>
        <w:spacing w:line="560" w:lineRule="exact"/>
        <w:textAlignment w:val="auto"/>
        <w:rPr>
          <w:rFonts w:ascii="仿宋" w:hAnsi="仿宋" w:eastAsia="仿宋"/>
          <w:color w:val="000000"/>
          <w:sz w:val="28"/>
          <w:szCs w:val="28"/>
          <w:highlight w:val="none"/>
          <w:shd w:val="clear" w:color="auto" w:fill="auto"/>
        </w:rPr>
      </w:pPr>
      <w:r>
        <w:rPr>
          <w:rFonts w:hint="eastAsia" w:ascii="仿宋" w:hAnsi="仿宋" w:eastAsia="仿宋"/>
          <w:color w:val="000000"/>
          <w:sz w:val="28"/>
          <w:szCs w:val="28"/>
          <w:highlight w:val="none"/>
          <w:shd w:val="clear" w:color="auto" w:fill="auto"/>
        </w:rPr>
        <w:t xml:space="preserve">  </w:t>
      </w:r>
    </w:p>
    <w:bookmarkEnd w:id="18"/>
    <w:p w14:paraId="6DC381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 w:hAnsi="仿宋" w:eastAsia="仿宋"/>
          <w:b w:val="0"/>
          <w:bCs w:val="0"/>
          <w:color w:val="000000"/>
          <w:sz w:val="28"/>
          <w:szCs w:val="28"/>
          <w:highlight w:val="none"/>
          <w:shd w:val="clear" w:color="auto" w:fill="auto"/>
        </w:rPr>
      </w:pPr>
      <w:bookmarkStart w:id="28" w:name="_Toc422322481"/>
      <w:bookmarkStart w:id="29" w:name="_Toc419045066"/>
      <w:r>
        <w:rPr>
          <w:rFonts w:ascii="仿宋" w:hAnsi="仿宋" w:eastAsia="仿宋"/>
          <w:color w:val="000000"/>
          <w:sz w:val="28"/>
          <w:szCs w:val="28"/>
          <w:highlight w:val="none"/>
          <w:shd w:val="clear" w:color="auto" w:fill="auto"/>
        </w:rPr>
        <w:br w:type="page"/>
      </w:r>
      <w:bookmarkEnd w:id="28"/>
      <w:bookmarkEnd w:id="29"/>
      <w:r>
        <w:rPr>
          <w:rFonts w:hint="eastAsia" w:ascii="方正小标宋简体" w:hAnsi="方正小标宋简体" w:eastAsia="方正小标宋简体" w:cs="方正小标宋简体"/>
          <w:b w:val="0"/>
          <w:bCs w:val="0"/>
          <w:color w:val="000000"/>
          <w:sz w:val="44"/>
          <w:szCs w:val="44"/>
          <w:highlight w:val="none"/>
          <w:shd w:val="clear" w:color="auto" w:fill="auto"/>
        </w:rPr>
        <w:t>第二部分　通用条件</w:t>
      </w:r>
      <w:bookmarkStart w:id="30" w:name="_Toc419045067"/>
      <w:bookmarkStart w:id="31" w:name="_Toc422322482"/>
    </w:p>
    <w:p w14:paraId="56F7E8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r>
        <w:rPr>
          <w:rFonts w:hint="eastAsia" w:ascii="黑体" w:hAnsi="黑体" w:eastAsia="黑体" w:cs="黑体"/>
          <w:b w:val="0"/>
          <w:bCs w:val="0"/>
          <w:color w:val="000000"/>
          <w:sz w:val="32"/>
          <w:szCs w:val="32"/>
          <w:highlight w:val="none"/>
          <w:shd w:val="clear" w:color="auto" w:fill="auto"/>
        </w:rPr>
        <w:t>1.词语定义、语言、解释顺序与适用法律</w:t>
      </w:r>
      <w:bookmarkEnd w:id="30"/>
      <w:bookmarkEnd w:id="31"/>
      <w:bookmarkStart w:id="32" w:name="_Toc422322483"/>
      <w:bookmarkStart w:id="33" w:name="_Toc419045068"/>
    </w:p>
    <w:p w14:paraId="3A1B4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shd w:val="clear" w:color="auto" w:fill="auto"/>
        </w:rPr>
        <w:t>1.1词语定义</w:t>
      </w:r>
      <w:bookmarkEnd w:id="32"/>
      <w:bookmarkEnd w:id="33"/>
    </w:p>
    <w:p w14:paraId="6FDA69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组成本合同的全部文件中的下列名词和用语应具有本款所赋予的含义：</w:t>
      </w:r>
    </w:p>
    <w:p w14:paraId="5F55C1E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1.1.1“工程”是指按照本合同约定实施造价咨询与其他服务的建设工程。    </w:t>
      </w:r>
    </w:p>
    <w:p w14:paraId="1DA3D3E0">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1.1.2“工程造价”是指工程项目建设过程中预计或实际支出的全部费用。</w:t>
      </w:r>
    </w:p>
    <w:p w14:paraId="1491839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1.1.3“委托人”是指本合同中委托造价咨询与其他服务的一方，及其合法的继承人或受让人。</w:t>
      </w:r>
    </w:p>
    <w:p w14:paraId="63593B3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1.1.4“咨询人”是指本合同中提供造价咨询与其他服务的一方</w:t>
      </w:r>
      <w:r>
        <w:rPr>
          <w:rFonts w:hint="eastAsia" w:ascii="仿宋_GB2312" w:hAnsi="仿宋_GB2312" w:eastAsia="仿宋_GB2312" w:cs="仿宋_GB2312"/>
          <w:b/>
          <w:bCs/>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rPr>
        <w:t>及其合法的继承人。</w:t>
      </w:r>
    </w:p>
    <w:p w14:paraId="393C32F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1.1.5“第三人”是指除委托人、咨询人以外与本咨询业务有关的当事人。</w:t>
      </w:r>
    </w:p>
    <w:p w14:paraId="1C4CC8FE">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1.1.6“正常工作”是指本合同订立时通用条件和专用条件中约定的咨询人的工作。</w:t>
      </w:r>
    </w:p>
    <w:p w14:paraId="71817C88">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1.1.7“附加工作”是指咨询人根据合同条件完成的正常工作以外的工作。</w:t>
      </w:r>
    </w:p>
    <w:p w14:paraId="613E8F7E">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1.1.8“项目咨询团队”是指咨询人指派负责履行本合同的团队，其团队成员为本合同的项目咨询人员。</w:t>
      </w:r>
    </w:p>
    <w:p w14:paraId="7FB438DB">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1.1.9“项目负责人”是指由咨询人的法定代表人书面授权，在授权范围内负责履行本合同、主持项目咨询团队工作的负责人。</w:t>
      </w:r>
    </w:p>
    <w:p w14:paraId="3B1940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1.1.10“委托人代表”是指由委托人的法定代表人书面授权，在授权范围内行使委托人权利的人。</w:t>
      </w:r>
    </w:p>
    <w:p w14:paraId="20BE5EF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1.1.11“酬金”是指咨询人履行本合同义务，委托人按照本合同约定给付咨询人的金额。</w:t>
      </w:r>
    </w:p>
    <w:p w14:paraId="00F37FBF">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1.1.12“正常工作酬金”是指在协议书中载明的，咨询人完成正常工作，委托人应给付咨询人的酬金。</w:t>
      </w:r>
    </w:p>
    <w:p w14:paraId="3A7061B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1.1.13“附加工作酬金”是指咨询人完成附加工作，委托人应给付咨询人的酬金。</w:t>
      </w:r>
    </w:p>
    <w:p w14:paraId="6A6481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1.1.14 “书面形式”是指合同书、信件和数据电文（包括电报、电传、传真、电子数据交换和电子邮件）等可以有形地表现所载内容的形式。</w:t>
      </w:r>
    </w:p>
    <w:p w14:paraId="0829A4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1.1.15 “不可抗力”是指委托人和咨询人在订立本合同时不可预见，在合同履行过程中不可避免并不能克服的自然灾害和社会性突发事件，如地震、海啸、瘟疫、水灾、骚乱、暴动、战争等情形。</w:t>
      </w:r>
      <w:bookmarkStart w:id="34" w:name="_Toc422322484"/>
      <w:bookmarkStart w:id="35" w:name="_Toc419045069"/>
    </w:p>
    <w:p w14:paraId="7A201C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1.2语言</w:t>
      </w:r>
      <w:bookmarkEnd w:id="34"/>
      <w:bookmarkEnd w:id="35"/>
    </w:p>
    <w:p w14:paraId="49274861">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本合同使用中文书写、解释和说明。如专用条件约定使用两种及以上语言文字时，应以中文为准。</w:t>
      </w:r>
      <w:bookmarkStart w:id="36" w:name="_Toc419045070"/>
      <w:bookmarkStart w:id="37" w:name="_Toc422322485"/>
    </w:p>
    <w:p w14:paraId="12D45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1.3合同文件的优先顺序</w:t>
      </w:r>
      <w:bookmarkEnd w:id="36"/>
      <w:bookmarkEnd w:id="37"/>
    </w:p>
    <w:p w14:paraId="28348AD9">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组成本合同的下列文件彼此应能相互解释、互为说明。除专用条件另有约定外，本合同文件的解释顺序如下：</w:t>
      </w:r>
    </w:p>
    <w:p w14:paraId="48C1AD63">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1.协议书</w:t>
      </w:r>
    </w:p>
    <w:p w14:paraId="4DD84EA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2.中标通知书或委托书（如果有）；</w:t>
      </w:r>
    </w:p>
    <w:p w14:paraId="7EB795C3">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3.专用条件及附录；</w:t>
      </w:r>
    </w:p>
    <w:p w14:paraId="39A4DE92">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4.通用条件；</w:t>
      </w:r>
    </w:p>
    <w:p w14:paraId="79295E77">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5.投标函及投标函附录或造价咨询服务建议书（如果有）；</w:t>
      </w:r>
    </w:p>
    <w:p w14:paraId="7B843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6.其他合同文件。</w:t>
      </w:r>
    </w:p>
    <w:p w14:paraId="384B3ED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上述各项合同文件包括合同当事人就该项合同文件所作出的补充和修改，属于同一类内容的文件，应以最新签署的为准。</w:t>
      </w:r>
    </w:p>
    <w:p w14:paraId="2FB7A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在合同订立及履行过程中形成的与合同有关的文件均构成合同文件的组成部分。</w:t>
      </w:r>
      <w:bookmarkStart w:id="38" w:name="_Toc419045071"/>
      <w:bookmarkStart w:id="39" w:name="_Toc422322486"/>
    </w:p>
    <w:p w14:paraId="4DCA3C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1.4适用法律</w:t>
      </w:r>
      <w:bookmarkEnd w:id="38"/>
      <w:bookmarkEnd w:id="39"/>
    </w:p>
    <w:p w14:paraId="53324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本合同适用中华人民共和国法律、行政法规、部门规章以及工程所在地的地方性法规、自治条例、单行条例和地方政府规章等。</w:t>
      </w:r>
    </w:p>
    <w:p w14:paraId="6906D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合同当事人可以在专用条件中约定本合同适用的其他规范、规程、定额、技术标准等规范性文件。</w:t>
      </w:r>
      <w:bookmarkStart w:id="40" w:name="_Toc422322487"/>
    </w:p>
    <w:p w14:paraId="3355FD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r>
        <w:rPr>
          <w:rFonts w:hint="eastAsia" w:ascii="黑体" w:hAnsi="黑体" w:eastAsia="黑体" w:cs="黑体"/>
          <w:b w:val="0"/>
          <w:bCs/>
          <w:color w:val="000000"/>
          <w:sz w:val="32"/>
          <w:szCs w:val="32"/>
          <w:highlight w:val="none"/>
          <w:shd w:val="clear" w:color="auto" w:fill="auto"/>
        </w:rPr>
        <w:t>2.委托人的义务</w:t>
      </w:r>
      <w:bookmarkEnd w:id="40"/>
      <w:bookmarkStart w:id="41" w:name="_Toc422322488"/>
      <w:bookmarkStart w:id="42" w:name="_Toc419045072"/>
    </w:p>
    <w:p w14:paraId="7838C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2.1提供资料</w:t>
      </w:r>
      <w:bookmarkEnd w:id="41"/>
      <w:bookmarkEnd w:id="42"/>
    </w:p>
    <w:p w14:paraId="77E57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bookmarkStart w:id="43" w:name="_Toc419045073"/>
      <w:bookmarkStart w:id="44" w:name="_Toc422322489"/>
    </w:p>
    <w:p w14:paraId="39BB93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2.2提供工作条件</w:t>
      </w:r>
      <w:bookmarkEnd w:id="43"/>
      <w:bookmarkEnd w:id="44"/>
    </w:p>
    <w:p w14:paraId="2FD50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委托人应为咨询人完成造价咨询提供必要的条件。</w:t>
      </w:r>
    </w:p>
    <w:p w14:paraId="78419A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2.2.1委托人需要咨询人派驻项目现场咨询人员的，除专用条件另有约定外，项目咨询人员有权无偿使用附录D中由委托人提供的房屋及设备。</w:t>
      </w:r>
    </w:p>
    <w:p w14:paraId="7910C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2.2.2委托人应负责与本工程造价咨询业务有关的所有外部关系的协调，为咨询人履行本合同提供必要的外部条件。</w:t>
      </w:r>
      <w:bookmarkStart w:id="45" w:name="_Toc419045074"/>
      <w:bookmarkStart w:id="46" w:name="_Toc422322490"/>
    </w:p>
    <w:p w14:paraId="3CBEFC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2.3合理工作时限</w:t>
      </w:r>
      <w:bookmarkEnd w:id="45"/>
      <w:bookmarkEnd w:id="46"/>
    </w:p>
    <w:p w14:paraId="54A79F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委托人应当为咨询人完成其咨询工作，设定合理的工作时限。</w:t>
      </w:r>
      <w:bookmarkStart w:id="47" w:name="_Toc419045075"/>
      <w:bookmarkStart w:id="48" w:name="_Toc422322491"/>
    </w:p>
    <w:p w14:paraId="409D6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2.4委托人代表</w:t>
      </w:r>
      <w:bookmarkEnd w:id="47"/>
      <w:bookmarkEnd w:id="48"/>
    </w:p>
    <w:p w14:paraId="2DFFC5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委托人应授权一名代表负责本合同的履行。委托人应在双方签订本合同7日内，将委托人代表的姓名和权限范围书面告知咨询人。委托人更换委托人代表时，应提前7日书面通知咨询人。</w:t>
      </w:r>
      <w:bookmarkStart w:id="49" w:name="_Toc422322492"/>
      <w:bookmarkStart w:id="50" w:name="_Toc419045076"/>
    </w:p>
    <w:p w14:paraId="3D585E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2.5答复</w:t>
      </w:r>
      <w:bookmarkEnd w:id="49"/>
      <w:bookmarkEnd w:id="50"/>
    </w:p>
    <w:p w14:paraId="0A4D02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委托人应当在专用条件约定的时间内就咨询人以书面形式提交并要求做出答复的事宜给予书面答复。逾期未答复的，由此造成的工作延误和损失由委托人承担。</w:t>
      </w:r>
      <w:bookmarkStart w:id="51" w:name="_Toc422322493"/>
      <w:bookmarkStart w:id="52" w:name="_Toc419045077"/>
    </w:p>
    <w:p w14:paraId="1B84F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2.6支付</w:t>
      </w:r>
      <w:bookmarkEnd w:id="51"/>
      <w:bookmarkEnd w:id="52"/>
    </w:p>
    <w:p w14:paraId="7F93AE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委托人应当按照合同的约定，向咨询人支付酬金。</w:t>
      </w:r>
      <w:bookmarkStart w:id="53" w:name="_Toc419045078"/>
      <w:bookmarkStart w:id="54" w:name="_Toc422322494"/>
    </w:p>
    <w:p w14:paraId="4B0311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r>
        <w:rPr>
          <w:rFonts w:hint="eastAsia" w:ascii="黑体" w:hAnsi="黑体" w:eastAsia="黑体" w:cs="黑体"/>
          <w:b w:val="0"/>
          <w:bCs/>
          <w:color w:val="000000"/>
          <w:sz w:val="32"/>
          <w:szCs w:val="32"/>
          <w:highlight w:val="none"/>
          <w:shd w:val="clear" w:color="auto" w:fill="auto"/>
        </w:rPr>
        <w:t>3.咨询人的义务</w:t>
      </w:r>
      <w:bookmarkEnd w:id="53"/>
      <w:bookmarkEnd w:id="54"/>
      <w:bookmarkStart w:id="55" w:name="_Toc422322495"/>
      <w:bookmarkStart w:id="56" w:name="_Toc419045080"/>
      <w:bookmarkStart w:id="57" w:name="16"/>
    </w:p>
    <w:p w14:paraId="3DA62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3.1 项目咨询团队及人员</w:t>
      </w:r>
      <w:bookmarkEnd w:id="55"/>
      <w:bookmarkEnd w:id="56"/>
    </w:p>
    <w:p w14:paraId="2A105AE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3.1.1项目咨询团队的主要人员应具有专用条件约定的资格条件，团队人员的数量应符合专用条件的约定。</w:t>
      </w:r>
    </w:p>
    <w:p w14:paraId="0FADDD95">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3.1.2项目负责人</w:t>
      </w:r>
    </w:p>
    <w:p w14:paraId="3485FFB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咨询人应以书面形式授权一名项目负责人负责履行本合同、主持项目咨询团队工作。采用招标程序签署本合同的，项目负责人应当与响应文件载明的一致。</w:t>
      </w:r>
    </w:p>
    <w:p w14:paraId="1318DFC5">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3.1.3在本合同履行过程中，咨询人员应保持相对稳定，以保证咨询工作正常进行。</w:t>
      </w:r>
    </w:p>
    <w:p w14:paraId="1A804BB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14:paraId="0C22C94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3.1.4咨询人员有下列情形之一，委托人要求咨询人更换的，咨询人应当更换：</w:t>
      </w:r>
    </w:p>
    <w:p w14:paraId="3E00CCB9">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（1）存在严重过失行为的；</w:t>
      </w:r>
    </w:p>
    <w:p w14:paraId="7F855EA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（2）存在违法行为不能履行职责的；</w:t>
      </w:r>
    </w:p>
    <w:p w14:paraId="6245438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（3）涉嫌犯罪的；</w:t>
      </w:r>
    </w:p>
    <w:p w14:paraId="755B8F3D">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（4）不能胜任岗位职责的；</w:t>
      </w:r>
    </w:p>
    <w:p w14:paraId="522BC9A7">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（5）严重违反职业道德的；</w:t>
      </w:r>
    </w:p>
    <w:p w14:paraId="66C62E0C">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（6）专用条件约定的其他情形。</w:t>
      </w:r>
      <w:bookmarkStart w:id="58" w:name="_Toc422322496"/>
    </w:p>
    <w:p w14:paraId="1B8B1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3.2 咨询人的工作要求</w:t>
      </w:r>
      <w:bookmarkEnd w:id="58"/>
    </w:p>
    <w:p w14:paraId="1E7C7887">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14:paraId="78D3FF1B">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3.2.2咨询人应当在专用条件约定的时间内，按照专用条件约定的份数、组成向委托人提交咨询成果文件。</w:t>
      </w:r>
    </w:p>
    <w:p w14:paraId="37446E5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14:paraId="590A5212">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3.2.3咨询人提交的工程造价咨询成果文件，除加盖咨询人单位公章、工程造价咨询企业执业印章外，还必须按要求加盖参加咨询工作人员的执业（从业）资格印章。</w:t>
      </w:r>
    </w:p>
    <w:p w14:paraId="7EA9A207">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3.2.4咨询人应在专用条件约定的时间内，对委托人以书面形式提出的建议或者异议给予书面答复。</w:t>
      </w:r>
    </w:p>
    <w:p w14:paraId="18C3C006">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3.2.5咨询人从事工程造价咨询活动，应当遵循独立、客观、公正、诚实信用的原则，不得损害社会公共利益和他人的合法权益。</w:t>
      </w:r>
    </w:p>
    <w:p w14:paraId="71A42E8C">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3.2.6咨询人承诺按照法律规定及合同约定，完成合同范围内的建设工程造价咨询服务，不转包承接的造价咨询服务业务。</w:t>
      </w:r>
      <w:bookmarkStart w:id="59" w:name="_Toc419045081"/>
      <w:bookmarkStart w:id="60" w:name="_Toc422322497"/>
    </w:p>
    <w:p w14:paraId="0A80C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3.3咨询人的工作依据</w:t>
      </w:r>
      <w:bookmarkEnd w:id="59"/>
      <w:bookmarkEnd w:id="60"/>
    </w:p>
    <w:p w14:paraId="78CF4995">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咨询人应在专用条件内与委托人协商明确履行本合同约定的咨询服务需要适用的技术标准、规范、定额等工作依据，但不得违反国家及工程所在地的强制性标准、规范。</w:t>
      </w:r>
    </w:p>
    <w:p w14:paraId="5B21999A">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咨询人应自行配备本条所述的技术标准、规范、定额等相关资料。必须由委托人提供的资料，应在附录C中载明。需要委托人协助才能获得的资料，委托人应予以协助。</w:t>
      </w:r>
      <w:bookmarkStart w:id="61" w:name="_Toc422322498"/>
      <w:bookmarkStart w:id="62" w:name="_Toc419045082"/>
    </w:p>
    <w:p w14:paraId="32BEF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3.4使用委托人房屋及设备的返还</w:t>
      </w:r>
      <w:bookmarkEnd w:id="61"/>
      <w:bookmarkEnd w:id="62"/>
    </w:p>
    <w:p w14:paraId="622E6F2C">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项目咨询人员使用委托人提供的房屋及设备的，咨询人应妥善使用和保管，在本合同终止时将上述房屋及设备按专用条件约定的时间和方式返还委托人。</w:t>
      </w:r>
    </w:p>
    <w:bookmarkEnd w:id="57"/>
    <w:p w14:paraId="675EAD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bookmarkStart w:id="63" w:name="_Toc422322499"/>
      <w:bookmarkStart w:id="64" w:name="_Toc419045083"/>
      <w:bookmarkStart w:id="65" w:name="19"/>
      <w:r>
        <w:rPr>
          <w:rFonts w:hint="eastAsia" w:ascii="黑体" w:hAnsi="黑体" w:eastAsia="黑体" w:cs="黑体"/>
          <w:b w:val="0"/>
          <w:bCs/>
          <w:color w:val="000000"/>
          <w:sz w:val="32"/>
          <w:szCs w:val="32"/>
          <w:highlight w:val="none"/>
          <w:shd w:val="clear" w:color="auto" w:fill="auto"/>
        </w:rPr>
        <w:t>4.违约责任</w:t>
      </w:r>
      <w:bookmarkEnd w:id="63"/>
      <w:bookmarkEnd w:id="64"/>
      <w:bookmarkStart w:id="66" w:name="_Toc422322500"/>
    </w:p>
    <w:p w14:paraId="4C0D4A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4.1委托人的违约责任</w:t>
      </w:r>
      <w:bookmarkEnd w:id="66"/>
    </w:p>
    <w:p w14:paraId="1B790FFE">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4.1.1委托人不履行本合同义务或者履行义务不符合本合同约定的，应承担违约责任。双方可在专用条件中约定违约金的计算及支付方法。</w:t>
      </w:r>
    </w:p>
    <w:p w14:paraId="3CCF8A43">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4.1.2委托人违反本合同约定造成咨询人损失的，委托人应予以赔偿。双方可在专用条件中约定赔偿金额的确定及支付方法。</w:t>
      </w:r>
    </w:p>
    <w:p w14:paraId="15062894">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bookmarkStart w:id="67" w:name="_Toc422322501"/>
      <w:bookmarkStart w:id="68" w:name="_Toc419045084"/>
    </w:p>
    <w:p w14:paraId="549F5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4.2咨询人的违约责任</w:t>
      </w:r>
      <w:bookmarkEnd w:id="67"/>
      <w:bookmarkEnd w:id="68"/>
    </w:p>
    <w:p w14:paraId="02BD7007">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4.2.1咨询人不履行本合同义务或者履行义务不符合本合同约定的，应承担违约责任。双方可在专用条件中约定违约金的计算及支付方法。</w:t>
      </w:r>
    </w:p>
    <w:p w14:paraId="7024C169">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4.2.2因咨询人违反本合同约定给委托人造成损失的，咨询人应当赔偿委托人损失。双方可在专用条件中约定赔偿金额的确定及支付方法。</w:t>
      </w:r>
    </w:p>
    <w:p w14:paraId="3A01B5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bookmarkStart w:id="69" w:name="_Toc419045086"/>
      <w:bookmarkStart w:id="70" w:name="_Toc422322502"/>
      <w:r>
        <w:rPr>
          <w:rFonts w:hint="eastAsia" w:ascii="黑体" w:hAnsi="黑体" w:eastAsia="黑体" w:cs="黑体"/>
          <w:b w:val="0"/>
          <w:bCs/>
          <w:color w:val="000000"/>
          <w:sz w:val="32"/>
          <w:szCs w:val="32"/>
          <w:highlight w:val="none"/>
          <w:shd w:val="clear" w:color="auto" w:fill="auto"/>
        </w:rPr>
        <w:t>5.支付</w:t>
      </w:r>
      <w:bookmarkEnd w:id="69"/>
      <w:bookmarkEnd w:id="70"/>
      <w:bookmarkStart w:id="71" w:name="_Toc419045087"/>
      <w:bookmarkStart w:id="72" w:name="_Toc422322503"/>
    </w:p>
    <w:p w14:paraId="55F41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5.1支付货币</w:t>
      </w:r>
      <w:bookmarkEnd w:id="71"/>
      <w:bookmarkEnd w:id="72"/>
    </w:p>
    <w:p w14:paraId="369BB7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除专用条件另有约定外，酬金均以人民币支付。涉及外币支付的，所采用的货币种类和汇率等在专用条件中约定。</w:t>
      </w:r>
      <w:bookmarkStart w:id="73" w:name="_Toc422322504"/>
    </w:p>
    <w:p w14:paraId="48232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5.2支付申请</w:t>
      </w:r>
      <w:bookmarkEnd w:id="73"/>
    </w:p>
    <w:p w14:paraId="7C9B3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咨询人应在本合同约定的每次应付款日期前，向委托人提交支付申请书，支付申请书的提交日期由双方在专用条件中约定。支付申请书应当说明当期应付款总额，并列出当期应支付的款项及其金额。</w:t>
      </w:r>
      <w:bookmarkStart w:id="74" w:name="_Toc422322505"/>
    </w:p>
    <w:p w14:paraId="22539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5.3 支付酬金</w:t>
      </w:r>
      <w:bookmarkEnd w:id="74"/>
    </w:p>
    <w:p w14:paraId="057073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支付酬金包括正常工作酬金、附加工作酬金、合理化建议奖励金额及费用。</w:t>
      </w:r>
      <w:bookmarkStart w:id="75" w:name="_Toc422322506"/>
    </w:p>
    <w:p w14:paraId="3FA3E9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5.4有异议部分的支付</w:t>
      </w:r>
      <w:bookmarkEnd w:id="75"/>
    </w:p>
    <w:p w14:paraId="24D7F5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委托人对咨询人提交的支付申请书有异议时，应当在收到咨询人提交的支付申请书后7日内，以书面形式向咨询人发出异议通知。无异议部分的款项应按期支付，有异议部分的款项按第7条约定办理。</w:t>
      </w:r>
    </w:p>
    <w:p w14:paraId="13F354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bookmarkStart w:id="76" w:name="_Toc419045088"/>
      <w:bookmarkStart w:id="77" w:name="_Toc422322507"/>
      <w:r>
        <w:rPr>
          <w:rFonts w:hint="eastAsia" w:ascii="黑体" w:hAnsi="黑体" w:eastAsia="黑体" w:cs="黑体"/>
          <w:b w:val="0"/>
          <w:bCs/>
          <w:color w:val="000000"/>
          <w:sz w:val="32"/>
          <w:szCs w:val="32"/>
          <w:highlight w:val="none"/>
          <w:shd w:val="clear" w:color="auto" w:fill="auto"/>
        </w:rPr>
        <w:t>6.合同变更、解除与终止</w:t>
      </w:r>
      <w:bookmarkEnd w:id="76"/>
      <w:bookmarkEnd w:id="77"/>
    </w:p>
    <w:p w14:paraId="40043E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78" w:name="_Toc419045089"/>
      <w:bookmarkStart w:id="79" w:name="_Toc422322508"/>
      <w:r>
        <w:rPr>
          <w:rStyle w:val="17"/>
          <w:rFonts w:hint="eastAsia" w:ascii="仿宋_GB2312" w:hAnsi="仿宋_GB2312" w:eastAsia="仿宋_GB2312" w:cs="仿宋_GB2312"/>
          <w:b w:val="0"/>
          <w:color w:val="000000"/>
          <w:sz w:val="32"/>
          <w:szCs w:val="32"/>
          <w:highlight w:val="none"/>
          <w:shd w:val="clear" w:color="auto" w:fill="auto"/>
        </w:rPr>
        <w:t>6.1合同变更</w:t>
      </w:r>
      <w:bookmarkEnd w:id="78"/>
      <w:bookmarkEnd w:id="79"/>
      <w:r>
        <w:rPr>
          <w:rFonts w:hint="eastAsia" w:ascii="仿宋_GB2312" w:hAnsi="仿宋_GB2312" w:eastAsia="仿宋_GB2312" w:cs="仿宋_GB2312"/>
          <w:color w:val="000000"/>
          <w:sz w:val="32"/>
          <w:szCs w:val="32"/>
          <w:highlight w:val="none"/>
          <w:shd w:val="clear" w:color="auto" w:fill="auto"/>
        </w:rPr>
        <w:t xml:space="preserve"> </w:t>
      </w:r>
    </w:p>
    <w:p w14:paraId="6247C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6.1.1 任何一方以书面形式提出变更请求时，双方经协商一致后可进行变更。</w:t>
      </w:r>
    </w:p>
    <w:p w14:paraId="7E14B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14:paraId="2CCAA0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14:paraId="75CA39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6.1.4 因工程规模、服务范围及工作内容的变化等导致咨询人的工作量增减时，服务酬金应作相应调整，调整方法由双方在专用条件中约定。</w:t>
      </w:r>
    </w:p>
    <w:p w14:paraId="435E51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bookmarkStart w:id="80" w:name="_Toc419045090"/>
      <w:bookmarkStart w:id="81" w:name="_Toc422322509"/>
      <w:r>
        <w:rPr>
          <w:rStyle w:val="17"/>
          <w:rFonts w:hint="eastAsia" w:ascii="仿宋_GB2312" w:hAnsi="仿宋_GB2312" w:eastAsia="仿宋_GB2312" w:cs="仿宋_GB2312"/>
          <w:b w:val="0"/>
          <w:bCs w:val="0"/>
          <w:color w:val="000000"/>
          <w:sz w:val="32"/>
          <w:szCs w:val="32"/>
          <w:highlight w:val="none"/>
          <w:shd w:val="clear" w:color="auto" w:fill="auto"/>
        </w:rPr>
        <w:t>6.2合同</w:t>
      </w:r>
      <w:r>
        <w:rPr>
          <w:rStyle w:val="17"/>
          <w:rFonts w:hint="eastAsia" w:ascii="仿宋_GB2312" w:hAnsi="仿宋_GB2312" w:eastAsia="仿宋_GB2312" w:cs="仿宋_GB2312"/>
          <w:b w:val="0"/>
          <w:color w:val="000000"/>
          <w:sz w:val="32"/>
          <w:szCs w:val="32"/>
          <w:highlight w:val="none"/>
          <w:shd w:val="clear" w:color="auto" w:fill="auto"/>
        </w:rPr>
        <w:t>解除</w:t>
      </w:r>
      <w:bookmarkEnd w:id="80"/>
      <w:bookmarkEnd w:id="81"/>
    </w:p>
    <w:p w14:paraId="54743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6.2.1 委托人与咨询人协商一致，可以解除合同。</w:t>
      </w:r>
    </w:p>
    <w:p w14:paraId="5CD348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6.2.2 有下列情形之一的，合同当事人一方或双方可以解除合同：</w:t>
      </w:r>
    </w:p>
    <w:p w14:paraId="32734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（1）咨询人将本合同约定的工程造价咨询服务工作全部或部分转包给他人，委托人可以解除合同；</w:t>
      </w:r>
    </w:p>
    <w:p w14:paraId="557B7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（2）咨询人提供的造价咨询服务不符合合同约定的要求，经委托人催告仍不能达到合同约定要求的，委托人可以解除合同；</w:t>
      </w:r>
    </w:p>
    <w:p w14:paraId="112016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（3）委托人未按合同约定支付服务酬金，经咨询人催告后，在28天内仍未支付的，咨询人可以解除合同；</w:t>
      </w:r>
    </w:p>
    <w:p w14:paraId="58B882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（4）因不可抗力致使合同无法履行；</w:t>
      </w:r>
    </w:p>
    <w:p w14:paraId="55613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（5）因一方违约致使合同无法实际履行或实际履行已无必要。</w:t>
      </w:r>
    </w:p>
    <w:p w14:paraId="454B63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除上述情形外，双方可以根据委托的服务范围及工作内容，在专用条件中约定解除合同的其他条件。</w:t>
      </w:r>
    </w:p>
    <w:p w14:paraId="4251BA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6.2.3 任何一方提出解除合同的，应提前30天书面通知对方。</w:t>
      </w:r>
    </w:p>
    <w:p w14:paraId="221C2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6.2.4合同解除后，委托人应按照合同约定向咨询人支付已完成部分的咨询服务酬金，咨询人应将超出部分咨询服务酬金予以返还。</w:t>
      </w:r>
    </w:p>
    <w:p w14:paraId="1D04C2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14:paraId="3847B5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mallCaps/>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6.2.5本合同解除后，本合同约定的有关结算、争议解决方式的条款仍然有效。</w:t>
      </w:r>
    </w:p>
    <w:p w14:paraId="769BF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bookmarkStart w:id="82" w:name="_Toc422322510"/>
      <w:r>
        <w:rPr>
          <w:rStyle w:val="17"/>
          <w:rFonts w:hint="eastAsia" w:ascii="仿宋_GB2312" w:hAnsi="仿宋_GB2312" w:eastAsia="仿宋_GB2312" w:cs="仿宋_GB2312"/>
          <w:b w:val="0"/>
          <w:color w:val="000000"/>
          <w:sz w:val="32"/>
          <w:szCs w:val="32"/>
          <w:highlight w:val="none"/>
          <w:shd w:val="clear" w:color="auto" w:fill="auto"/>
        </w:rPr>
        <w:t>6.3 合同终止</w:t>
      </w:r>
      <w:bookmarkEnd w:id="82"/>
    </w:p>
    <w:p w14:paraId="09F346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Cs/>
          <w:smallCaps/>
          <w:color w:val="000000"/>
          <w:sz w:val="32"/>
          <w:szCs w:val="32"/>
          <w:highlight w:val="none"/>
          <w:shd w:val="clear" w:color="auto" w:fill="auto"/>
        </w:rPr>
        <w:t>除合同解除外，以下条</w:t>
      </w:r>
      <w:r>
        <w:rPr>
          <w:rFonts w:hint="eastAsia" w:ascii="仿宋_GB2312" w:hAnsi="仿宋_GB2312" w:eastAsia="仿宋_GB2312" w:cs="仿宋_GB2312"/>
          <w:color w:val="000000"/>
          <w:sz w:val="32"/>
          <w:szCs w:val="32"/>
          <w:highlight w:val="none"/>
          <w:shd w:val="clear" w:color="auto" w:fill="auto"/>
        </w:rPr>
        <w:t>件全部满足时，本合同终止</w:t>
      </w:r>
    </w:p>
    <w:p w14:paraId="4F2F61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（1）咨询人完成本合同约定的全部工作；</w:t>
      </w:r>
    </w:p>
    <w:p w14:paraId="23C708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（2）委托人与咨询人结清并支付酬金；</w:t>
      </w:r>
    </w:p>
    <w:p w14:paraId="1105F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（3）咨询人将委托人提供的资料交还。</w:t>
      </w:r>
    </w:p>
    <w:p w14:paraId="1C726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黑体" w:hAnsi="黑体" w:eastAsia="黑体" w:cs="黑体"/>
          <w:b w:val="0"/>
          <w:bCs/>
          <w:color w:val="000000"/>
          <w:sz w:val="32"/>
          <w:szCs w:val="32"/>
          <w:highlight w:val="none"/>
          <w:shd w:val="clear" w:color="auto" w:fill="auto"/>
        </w:rPr>
      </w:pPr>
      <w:bookmarkStart w:id="83" w:name="_Toc422322511"/>
      <w:bookmarkStart w:id="84" w:name="_Toc419045091"/>
      <w:r>
        <w:rPr>
          <w:rStyle w:val="16"/>
          <w:rFonts w:hint="eastAsia" w:ascii="黑体" w:hAnsi="黑体" w:eastAsia="黑体" w:cs="黑体"/>
          <w:b w:val="0"/>
          <w:bCs/>
          <w:color w:val="000000"/>
          <w:sz w:val="32"/>
          <w:szCs w:val="32"/>
          <w:highlight w:val="none"/>
          <w:shd w:val="clear" w:color="auto" w:fill="auto"/>
        </w:rPr>
        <w:t>7.争议解决</w:t>
      </w:r>
      <w:bookmarkEnd w:id="65"/>
      <w:bookmarkEnd w:id="83"/>
      <w:bookmarkEnd w:id="84"/>
    </w:p>
    <w:p w14:paraId="21A09F71">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85" w:name="_Toc419045092"/>
      <w:bookmarkStart w:id="86" w:name="_Toc422322512"/>
      <w:r>
        <w:rPr>
          <w:rStyle w:val="17"/>
          <w:rFonts w:hint="eastAsia" w:ascii="仿宋_GB2312" w:hAnsi="仿宋_GB2312" w:eastAsia="仿宋_GB2312" w:cs="仿宋_GB2312"/>
          <w:b w:val="0"/>
          <w:smallCaps/>
          <w:color w:val="000000"/>
          <w:sz w:val="32"/>
          <w:szCs w:val="32"/>
          <w:highlight w:val="none"/>
          <w:shd w:val="clear" w:color="auto" w:fill="auto"/>
        </w:rPr>
        <w:t>7.1协商</w:t>
      </w:r>
      <w:bookmarkEnd w:id="85"/>
      <w:bookmarkEnd w:id="86"/>
    </w:p>
    <w:p w14:paraId="6AF51DA3">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双方应本着诚实信用的原则协商解决本合同履行过程中发生的争议。</w:t>
      </w:r>
      <w:bookmarkStart w:id="87" w:name="37"/>
    </w:p>
    <w:p w14:paraId="3F340E42">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smallCaps/>
          <w:color w:val="000000"/>
          <w:sz w:val="32"/>
          <w:szCs w:val="32"/>
          <w:highlight w:val="none"/>
          <w:shd w:val="clear" w:color="auto" w:fill="auto"/>
        </w:rPr>
      </w:pPr>
      <w:bookmarkStart w:id="88" w:name="_Toc419045093"/>
      <w:bookmarkStart w:id="89" w:name="_Toc422322513"/>
      <w:r>
        <w:rPr>
          <w:rStyle w:val="17"/>
          <w:rFonts w:hint="eastAsia" w:ascii="仿宋_GB2312" w:hAnsi="仿宋_GB2312" w:eastAsia="仿宋_GB2312" w:cs="仿宋_GB2312"/>
          <w:b w:val="0"/>
          <w:smallCaps/>
          <w:color w:val="000000"/>
          <w:sz w:val="32"/>
          <w:szCs w:val="32"/>
          <w:highlight w:val="none"/>
          <w:shd w:val="clear" w:color="auto" w:fill="auto"/>
        </w:rPr>
        <w:t>7.2</w:t>
      </w:r>
      <w:bookmarkEnd w:id="87"/>
      <w:r>
        <w:rPr>
          <w:rStyle w:val="17"/>
          <w:rFonts w:hint="eastAsia" w:ascii="仿宋_GB2312" w:hAnsi="仿宋_GB2312" w:eastAsia="仿宋_GB2312" w:cs="仿宋_GB2312"/>
          <w:b w:val="0"/>
          <w:smallCaps/>
          <w:color w:val="000000"/>
          <w:sz w:val="32"/>
          <w:szCs w:val="32"/>
          <w:highlight w:val="none"/>
          <w:shd w:val="clear" w:color="auto" w:fill="auto"/>
        </w:rPr>
        <w:t>调解</w:t>
      </w:r>
      <w:bookmarkEnd w:id="88"/>
      <w:bookmarkEnd w:id="89"/>
    </w:p>
    <w:p w14:paraId="015599A1">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如果双方不能在14日内或双方商定的其他时间内解决本合同争议，可以将其提交给专用条件约定的或事后达成协议的调解人进行调解。</w:t>
      </w:r>
    </w:p>
    <w:p w14:paraId="691CD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90" w:name="38"/>
      <w:bookmarkStart w:id="91" w:name="_Toc419045094"/>
      <w:bookmarkStart w:id="92" w:name="_Toc422322514"/>
      <w:r>
        <w:rPr>
          <w:rStyle w:val="17"/>
          <w:rFonts w:hint="eastAsia" w:ascii="仿宋_GB2312" w:hAnsi="仿宋_GB2312" w:eastAsia="仿宋_GB2312" w:cs="仿宋_GB2312"/>
          <w:b w:val="0"/>
          <w:smallCaps/>
          <w:color w:val="000000"/>
          <w:sz w:val="32"/>
          <w:szCs w:val="32"/>
          <w:highlight w:val="none"/>
          <w:shd w:val="clear" w:color="auto" w:fill="auto"/>
        </w:rPr>
        <w:t>7.</w:t>
      </w:r>
      <w:bookmarkEnd w:id="90"/>
      <w:r>
        <w:rPr>
          <w:rStyle w:val="17"/>
          <w:rFonts w:hint="eastAsia" w:ascii="仿宋_GB2312" w:hAnsi="仿宋_GB2312" w:eastAsia="仿宋_GB2312" w:cs="仿宋_GB2312"/>
          <w:b w:val="0"/>
          <w:smallCaps/>
          <w:color w:val="000000"/>
          <w:sz w:val="32"/>
          <w:szCs w:val="32"/>
          <w:highlight w:val="none"/>
          <w:shd w:val="clear" w:color="auto" w:fill="auto"/>
        </w:rPr>
        <w:t>3仲裁或诉讼</w:t>
      </w:r>
      <w:bookmarkEnd w:id="91"/>
      <w:bookmarkEnd w:id="92"/>
    </w:p>
    <w:p w14:paraId="415D5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双方均有权不经调解直接向专用条件约定的仲裁机构申请仲裁或向有管辖权的人民法院提起诉讼。</w:t>
      </w:r>
    </w:p>
    <w:p w14:paraId="09E135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rPr>
      </w:pPr>
      <w:bookmarkStart w:id="93" w:name="_Toc422322515"/>
      <w:bookmarkStart w:id="94" w:name="_Toc419045095"/>
      <w:r>
        <w:rPr>
          <w:rStyle w:val="16"/>
          <w:rFonts w:hint="eastAsia" w:ascii="黑体" w:hAnsi="黑体" w:eastAsia="黑体" w:cs="黑体"/>
          <w:b w:val="0"/>
          <w:bCs w:val="0"/>
          <w:color w:val="000000"/>
          <w:sz w:val="32"/>
          <w:szCs w:val="32"/>
          <w:highlight w:val="none"/>
          <w:shd w:val="clear" w:color="auto" w:fill="auto"/>
        </w:rPr>
        <w:t>8.其他</w:t>
      </w:r>
      <w:bookmarkEnd w:id="93"/>
      <w:bookmarkEnd w:id="94"/>
      <w:bookmarkStart w:id="95" w:name="39"/>
      <w:bookmarkStart w:id="96" w:name="_Toc419045096"/>
      <w:bookmarkStart w:id="97" w:name="_Toc422322516"/>
    </w:p>
    <w:p w14:paraId="1E9C2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shd w:val="clear" w:color="auto" w:fill="auto"/>
        </w:rPr>
      </w:pPr>
      <w:r>
        <w:rPr>
          <w:rFonts w:hint="eastAsia" w:ascii="仿宋_GB2312" w:hAnsi="仿宋_GB2312" w:eastAsia="仿宋_GB2312" w:cs="仿宋_GB2312"/>
          <w:b w:val="0"/>
          <w:bCs w:val="0"/>
          <w:smallCaps/>
          <w:color w:val="000000"/>
          <w:sz w:val="32"/>
          <w:szCs w:val="32"/>
          <w:highlight w:val="none"/>
          <w:shd w:val="clear" w:color="auto" w:fill="auto"/>
        </w:rPr>
        <w:t>8.1</w:t>
      </w:r>
      <w:bookmarkEnd w:id="95"/>
      <w:r>
        <w:rPr>
          <w:rFonts w:hint="eastAsia" w:ascii="仿宋_GB2312" w:hAnsi="仿宋_GB2312" w:eastAsia="仿宋_GB2312" w:cs="仿宋_GB2312"/>
          <w:b w:val="0"/>
          <w:bCs w:val="0"/>
          <w:color w:val="000000"/>
          <w:sz w:val="32"/>
          <w:szCs w:val="32"/>
          <w:highlight w:val="none"/>
          <w:shd w:val="clear" w:color="auto" w:fill="auto"/>
        </w:rPr>
        <w:t>考察及相关费用</w:t>
      </w:r>
      <w:bookmarkEnd w:id="96"/>
      <w:bookmarkEnd w:id="97"/>
    </w:p>
    <w:p w14:paraId="21792E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除专用条件另有约定外，咨询人经委托人同意进行考察发生的费用由委托人审核后另行支付。差旅费及相关费用的承担由双方在专用条件中约定。</w:t>
      </w:r>
      <w:bookmarkStart w:id="98" w:name="_Toc422322517"/>
    </w:p>
    <w:p w14:paraId="52FDC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mallCaps/>
          <w:color w:val="000000"/>
          <w:sz w:val="32"/>
          <w:szCs w:val="32"/>
          <w:highlight w:val="none"/>
          <w:shd w:val="clear" w:color="auto" w:fill="auto"/>
        </w:rPr>
      </w:pPr>
      <w:r>
        <w:rPr>
          <w:rFonts w:hint="eastAsia" w:ascii="仿宋_GB2312" w:hAnsi="仿宋_GB2312" w:eastAsia="仿宋_GB2312" w:cs="仿宋_GB2312"/>
          <w:b w:val="0"/>
          <w:bCs w:val="0"/>
          <w:smallCaps/>
          <w:color w:val="000000"/>
          <w:sz w:val="32"/>
          <w:szCs w:val="32"/>
          <w:highlight w:val="none"/>
          <w:shd w:val="clear" w:color="auto" w:fill="auto"/>
        </w:rPr>
        <w:t>8.2奖励</w:t>
      </w:r>
      <w:bookmarkEnd w:id="98"/>
    </w:p>
    <w:p w14:paraId="525ED3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对于咨询人在服务过程中提出合理化建议，使委托人获得效益的，双方在专用条件中约定奖励金额的确定方法。奖励金额在合理化建议被采纳后，与最近一期的正常工作酬金同期支付。</w:t>
      </w:r>
      <w:bookmarkStart w:id="99" w:name="_Toc422322518"/>
    </w:p>
    <w:p w14:paraId="1E601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mallCaps/>
          <w:color w:val="000000"/>
          <w:sz w:val="32"/>
          <w:szCs w:val="32"/>
          <w:highlight w:val="none"/>
          <w:shd w:val="clear" w:color="auto" w:fill="auto"/>
        </w:rPr>
      </w:pPr>
      <w:r>
        <w:rPr>
          <w:rFonts w:hint="eastAsia" w:ascii="仿宋_GB2312" w:hAnsi="仿宋_GB2312" w:eastAsia="仿宋_GB2312" w:cs="仿宋_GB2312"/>
          <w:b w:val="0"/>
          <w:bCs w:val="0"/>
          <w:smallCaps/>
          <w:color w:val="000000"/>
          <w:sz w:val="32"/>
          <w:szCs w:val="32"/>
          <w:highlight w:val="none"/>
          <w:shd w:val="clear" w:color="auto" w:fill="auto"/>
        </w:rPr>
        <w:t>8.3保密</w:t>
      </w:r>
      <w:bookmarkEnd w:id="99"/>
    </w:p>
    <w:p w14:paraId="5299D4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在本合同履行期间或专用条件约定的期限内，双方不得泄露对方申明的保密资料，亦不得泄露与实施工程有关的第三人所提供的保密资料。保密事项在专用条件中约定。</w:t>
      </w:r>
    </w:p>
    <w:p w14:paraId="612CA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mallCaps/>
          <w:color w:val="000000"/>
          <w:sz w:val="32"/>
          <w:szCs w:val="32"/>
          <w:highlight w:val="none"/>
          <w:shd w:val="clear" w:color="auto" w:fill="auto"/>
        </w:rPr>
      </w:pPr>
      <w:bookmarkStart w:id="100" w:name="_Toc419045097"/>
      <w:bookmarkStart w:id="101" w:name="_Toc422322519"/>
      <w:r>
        <w:rPr>
          <w:rFonts w:hint="eastAsia" w:ascii="仿宋_GB2312" w:hAnsi="仿宋_GB2312" w:eastAsia="仿宋_GB2312" w:cs="仿宋_GB2312"/>
          <w:b w:val="0"/>
          <w:bCs w:val="0"/>
          <w:smallCaps/>
          <w:color w:val="000000"/>
          <w:sz w:val="32"/>
          <w:szCs w:val="32"/>
          <w:highlight w:val="none"/>
          <w:shd w:val="clear" w:color="auto" w:fill="auto"/>
        </w:rPr>
        <w:t>8.4</w:t>
      </w:r>
      <w:bookmarkEnd w:id="100"/>
      <w:r>
        <w:rPr>
          <w:rFonts w:hint="eastAsia" w:ascii="仿宋_GB2312" w:hAnsi="仿宋_GB2312" w:eastAsia="仿宋_GB2312" w:cs="仿宋_GB2312"/>
          <w:b w:val="0"/>
          <w:bCs w:val="0"/>
          <w:smallCaps/>
          <w:color w:val="000000"/>
          <w:sz w:val="32"/>
          <w:szCs w:val="32"/>
          <w:highlight w:val="none"/>
          <w:shd w:val="clear" w:color="auto" w:fill="auto"/>
        </w:rPr>
        <w:t>联络</w:t>
      </w:r>
      <w:bookmarkEnd w:id="101"/>
    </w:p>
    <w:p w14:paraId="63278E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8.4.1与合同有关的通知、指示、要求、决定等，均应采用书面形式，并应在专用条件约定的期限内送达接收人和送达地点。</w:t>
      </w:r>
    </w:p>
    <w:p w14:paraId="08F21E9A">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8.4.2委托人和咨询人应在专用条件中约定各自的送达接收人、送达地点、电子邮箱。任何一方指定的接收人或送达地点或电子邮箱发生变动的，应提前3天以书面形式通知对方，否则视为未发生变动。</w:t>
      </w:r>
    </w:p>
    <w:p w14:paraId="6222436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8.4.3委托人和咨询人应当及时签收另一方送达至送达地点和指定接收人的往来函件，如确有充分证据证明一方无正当理由拒不签收的，视为认可往来函件的内容。</w:t>
      </w:r>
      <w:bookmarkStart w:id="102" w:name="_Toc422322520"/>
    </w:p>
    <w:p w14:paraId="16B329D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b w:val="0"/>
          <w:bCs w:val="0"/>
          <w:smallCaps/>
          <w:color w:val="000000"/>
          <w:sz w:val="32"/>
          <w:szCs w:val="32"/>
          <w:highlight w:val="none"/>
          <w:shd w:val="clear" w:color="auto" w:fill="auto"/>
        </w:rPr>
      </w:pPr>
      <w:r>
        <w:rPr>
          <w:rFonts w:hint="eastAsia" w:ascii="仿宋_GB2312" w:hAnsi="仿宋_GB2312" w:eastAsia="仿宋_GB2312" w:cs="仿宋_GB2312"/>
          <w:b w:val="0"/>
          <w:bCs w:val="0"/>
          <w:smallCaps/>
          <w:color w:val="000000"/>
          <w:sz w:val="32"/>
          <w:szCs w:val="32"/>
          <w:highlight w:val="none"/>
          <w:shd w:val="clear" w:color="auto" w:fill="auto"/>
        </w:rPr>
        <w:t>8.5知识产权</w:t>
      </w:r>
      <w:bookmarkEnd w:id="102"/>
    </w:p>
    <w:p w14:paraId="30CCB0F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8.5.1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14:paraId="020771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8.5.2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14:paraId="71A5D2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8.5.3双方保证在履行本合同过程中不侵犯对方及第三方的知识产权。因咨询人侵犯他人知识产权所引起的责任，由咨询人承担；因委托人提供的基础资料导致侵权的，由委托人承担责任。</w:t>
      </w:r>
    </w:p>
    <w:p w14:paraId="22281146">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8.5.4除专用条件另有约定外，双方均有权在履行本合同保密义务并且不损害对方利益的情况下，将履行本合同形成的有关成果文件用于企业宣传、申报奖项以及接受上级主管部门的检查。　　</w:t>
      </w:r>
    </w:p>
    <w:p w14:paraId="168B76DA">
      <w:pPr>
        <w:pStyle w:val="2"/>
        <w:pageBreakBefore w:val="0"/>
        <w:kinsoku/>
        <w:wordWrap/>
        <w:overflowPunct/>
        <w:topLinePunct w:val="0"/>
        <w:bidi w:val="0"/>
        <w:spacing w:line="560" w:lineRule="exact"/>
        <w:jc w:val="center"/>
        <w:textAlignment w:val="auto"/>
        <w:rPr>
          <w:rFonts w:ascii="仿宋" w:hAnsi="仿宋" w:eastAsia="仿宋"/>
          <w:color w:val="000000"/>
          <w:sz w:val="32"/>
          <w:szCs w:val="32"/>
          <w:highlight w:val="none"/>
          <w:shd w:val="clear" w:color="auto" w:fill="auto"/>
        </w:rPr>
      </w:pPr>
      <w:bookmarkStart w:id="103" w:name="_Toc422322521"/>
      <w:bookmarkStart w:id="104" w:name="_Toc419045098"/>
      <w:r>
        <w:rPr>
          <w:rFonts w:ascii="仿宋" w:hAnsi="仿宋" w:eastAsia="仿宋"/>
          <w:color w:val="000000"/>
          <w:sz w:val="32"/>
          <w:szCs w:val="32"/>
          <w:highlight w:val="none"/>
          <w:shd w:val="clear" w:color="auto" w:fill="auto"/>
        </w:rPr>
        <w:br w:type="page"/>
      </w:r>
      <w:bookmarkStart w:id="105" w:name="_Toc32468"/>
      <w:bookmarkStart w:id="106" w:name="_Toc26285"/>
      <w:bookmarkStart w:id="107" w:name="_Toc31649"/>
      <w:r>
        <w:rPr>
          <w:rFonts w:hint="eastAsia" w:ascii="方正小标宋简体" w:hAnsi="方正小标宋简体" w:eastAsia="方正小标宋简体" w:cs="方正小标宋简体"/>
          <w:b w:val="0"/>
          <w:bCs w:val="0"/>
          <w:color w:val="000000"/>
          <w:sz w:val="44"/>
          <w:szCs w:val="44"/>
          <w:highlight w:val="none"/>
          <w:shd w:val="clear" w:color="auto" w:fill="auto"/>
        </w:rPr>
        <w:t>第三部分　专用条件</w:t>
      </w:r>
      <w:bookmarkEnd w:id="103"/>
      <w:bookmarkEnd w:id="104"/>
      <w:bookmarkEnd w:id="105"/>
      <w:bookmarkEnd w:id="106"/>
      <w:bookmarkEnd w:id="107"/>
      <w:bookmarkStart w:id="108" w:name="45"/>
    </w:p>
    <w:bookmarkEnd w:id="108"/>
    <w:p w14:paraId="73ED98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bookmarkStart w:id="109" w:name="_Toc419045099"/>
      <w:bookmarkStart w:id="110" w:name="_Toc422322522"/>
      <w:r>
        <w:rPr>
          <w:rFonts w:hint="eastAsia" w:ascii="黑体" w:hAnsi="黑体" w:eastAsia="黑体" w:cs="黑体"/>
          <w:b w:val="0"/>
          <w:bCs/>
          <w:color w:val="000000"/>
          <w:sz w:val="32"/>
          <w:szCs w:val="32"/>
          <w:highlight w:val="none"/>
          <w:shd w:val="clear" w:color="auto" w:fill="auto"/>
        </w:rPr>
        <w:t>说明：本专用合同条件是对“通用合同条件”的补充、细化和约定，应对照通用合同条件中同一编号的条款一起阅读和理解。如果本“专用合同条件”与 “通用合同条件”不一致时，以本“专用合同条件”的约定为准。</w:t>
      </w:r>
    </w:p>
    <w:p w14:paraId="64DB57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r>
        <w:rPr>
          <w:rFonts w:hint="eastAsia" w:ascii="黑体" w:hAnsi="黑体" w:eastAsia="黑体" w:cs="黑体"/>
          <w:b w:val="0"/>
          <w:bCs/>
          <w:color w:val="000000"/>
          <w:sz w:val="32"/>
          <w:szCs w:val="32"/>
          <w:highlight w:val="none"/>
          <w:shd w:val="clear" w:color="auto" w:fill="auto"/>
        </w:rPr>
        <w:t>1.词语定义、语言、解释顺序与适用法律</w:t>
      </w:r>
      <w:bookmarkEnd w:id="109"/>
      <w:bookmarkEnd w:id="110"/>
    </w:p>
    <w:p w14:paraId="71FE0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bookmarkStart w:id="111" w:name="_Toc419045101"/>
      <w:bookmarkStart w:id="112" w:name="_Toc422322524"/>
      <w:r>
        <w:rPr>
          <w:rFonts w:hint="eastAsia" w:ascii="仿宋_GB2312" w:hAnsi="仿宋_GB2312" w:eastAsia="仿宋_GB2312" w:cs="仿宋_GB2312"/>
          <w:b w:val="0"/>
          <w:bCs/>
          <w:color w:val="000000"/>
          <w:sz w:val="32"/>
          <w:szCs w:val="32"/>
          <w:highlight w:val="none"/>
          <w:shd w:val="clear" w:color="auto" w:fill="auto"/>
        </w:rPr>
        <w:t>1.2 语言</w:t>
      </w:r>
      <w:bookmarkEnd w:id="111"/>
      <w:bookmarkEnd w:id="112"/>
    </w:p>
    <w:p w14:paraId="68E5A0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本合同文件除使用中文外，还可用</w:t>
      </w:r>
      <w:r>
        <w:rPr>
          <w:rFonts w:hint="eastAsia" w:ascii="仿宋_GB2312" w:hAnsi="仿宋_GB2312" w:eastAsia="仿宋_GB2312" w:cs="仿宋_GB2312"/>
          <w:color w:val="000000"/>
          <w:sz w:val="32"/>
          <w:szCs w:val="32"/>
          <w:highlight w:val="none"/>
          <w:u w:val="single"/>
          <w:shd w:val="clear" w:color="auto" w:fill="auto"/>
        </w:rPr>
        <w:t>/</w:t>
      </w:r>
      <w:r>
        <w:rPr>
          <w:rFonts w:hint="eastAsia" w:ascii="仿宋_GB2312" w:hAnsi="仿宋_GB2312" w:eastAsia="仿宋_GB2312" w:cs="仿宋_GB2312"/>
          <w:color w:val="000000"/>
          <w:sz w:val="32"/>
          <w:szCs w:val="32"/>
          <w:highlight w:val="none"/>
          <w:shd w:val="clear" w:color="auto" w:fill="auto"/>
        </w:rPr>
        <w:t>。</w:t>
      </w:r>
      <w:bookmarkStart w:id="113" w:name="_Toc422322525"/>
    </w:p>
    <w:p w14:paraId="690266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1.3合同文件的优先顺序</w:t>
      </w:r>
      <w:bookmarkEnd w:id="113"/>
    </w:p>
    <w:p w14:paraId="37DBB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本合同文件的解释顺序为：</w:t>
      </w:r>
      <w:r>
        <w:rPr>
          <w:rFonts w:hint="eastAsia" w:ascii="仿宋_GB2312" w:hAnsi="仿宋_GB2312" w:eastAsia="仿宋_GB2312" w:cs="仿宋_GB2312"/>
          <w:color w:val="000000"/>
          <w:sz w:val="32"/>
          <w:szCs w:val="32"/>
          <w:highlight w:val="none"/>
          <w:u w:val="single"/>
          <w:shd w:val="clear" w:color="auto" w:fill="auto"/>
        </w:rPr>
        <w:t>适用通用条件约定</w:t>
      </w:r>
      <w:r>
        <w:rPr>
          <w:rFonts w:hint="eastAsia" w:ascii="仿宋_GB2312" w:hAnsi="仿宋_GB2312" w:eastAsia="仿宋_GB2312" w:cs="仿宋_GB2312"/>
          <w:color w:val="000000"/>
          <w:sz w:val="32"/>
          <w:szCs w:val="32"/>
          <w:highlight w:val="none"/>
          <w:shd w:val="clear" w:color="auto" w:fill="auto"/>
        </w:rPr>
        <w:t>。</w:t>
      </w:r>
    </w:p>
    <w:p w14:paraId="402B45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bookmarkStart w:id="114" w:name="_Toc419045102"/>
      <w:bookmarkStart w:id="115" w:name="_Toc422322526"/>
      <w:r>
        <w:rPr>
          <w:rFonts w:hint="eastAsia" w:ascii="仿宋_GB2312" w:hAnsi="仿宋_GB2312" w:eastAsia="仿宋_GB2312" w:cs="仿宋_GB2312"/>
          <w:b w:val="0"/>
          <w:bCs/>
          <w:color w:val="000000"/>
          <w:sz w:val="32"/>
          <w:szCs w:val="32"/>
          <w:highlight w:val="none"/>
          <w:shd w:val="clear" w:color="auto" w:fill="auto"/>
        </w:rPr>
        <w:t>1.4适用法律</w:t>
      </w:r>
      <w:bookmarkEnd w:id="114"/>
      <w:bookmarkEnd w:id="115"/>
    </w:p>
    <w:p w14:paraId="4E9941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single"/>
          <w:shd w:val="clear" w:color="auto" w:fill="auto"/>
        </w:rPr>
      </w:pPr>
      <w:r>
        <w:rPr>
          <w:rFonts w:hint="eastAsia" w:ascii="仿宋_GB2312" w:hAnsi="仿宋_GB2312" w:eastAsia="仿宋_GB2312" w:cs="仿宋_GB2312"/>
          <w:color w:val="000000"/>
          <w:sz w:val="32"/>
          <w:szCs w:val="32"/>
          <w:highlight w:val="none"/>
          <w:shd w:val="clear" w:color="auto" w:fill="auto"/>
        </w:rPr>
        <w:t>本合同适用的其他规范性文件包括:</w:t>
      </w:r>
      <w:r>
        <w:rPr>
          <w:rFonts w:hint="eastAsia" w:ascii="仿宋_GB2312" w:hAnsi="仿宋_GB2312" w:eastAsia="仿宋_GB2312" w:cs="仿宋_GB2312"/>
          <w:color w:val="000000"/>
          <w:sz w:val="32"/>
          <w:szCs w:val="32"/>
          <w:highlight w:val="none"/>
          <w:u w:val="single"/>
          <w:shd w:val="clear" w:color="auto" w:fill="auto"/>
        </w:rPr>
        <w:t>（1）海南省现行工程计价定额；（2）《海南工程造价信息》；（3）海南省、海口市造价管理部门发布的其他与工程造价相关的文件</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u w:val="single"/>
          <w:shd w:val="clear" w:color="auto" w:fill="auto"/>
        </w:rPr>
        <w:t>以及国家及地方有关建设项目工程概算、施工图预算、工程量清单及控制价编制、施工阶段全过程咨询、工程结算及其他与本合同项下工程咨询专业工作有关的其他管理法规、规章、规范及规范性文件等</w:t>
      </w:r>
      <w:r>
        <w:rPr>
          <w:rFonts w:hint="eastAsia" w:ascii="仿宋_GB2312" w:hAnsi="仿宋_GB2312" w:eastAsia="仿宋_GB2312" w:cs="仿宋_GB2312"/>
          <w:color w:val="000000"/>
          <w:sz w:val="32"/>
          <w:szCs w:val="32"/>
          <w:highlight w:val="none"/>
          <w:shd w:val="clear" w:color="auto" w:fill="auto"/>
        </w:rPr>
        <w:t>。</w:t>
      </w:r>
      <w:bookmarkStart w:id="116" w:name="_Toc422322527"/>
      <w:bookmarkStart w:id="117" w:name="_Toc419045103"/>
    </w:p>
    <w:p w14:paraId="26E2F2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r>
        <w:rPr>
          <w:rFonts w:hint="eastAsia" w:ascii="黑体" w:hAnsi="黑体" w:eastAsia="黑体" w:cs="黑体"/>
          <w:b w:val="0"/>
          <w:bCs/>
          <w:color w:val="000000"/>
          <w:sz w:val="32"/>
          <w:szCs w:val="32"/>
          <w:highlight w:val="none"/>
          <w:shd w:val="clear" w:color="auto" w:fill="auto"/>
        </w:rPr>
        <w:t>2.委托人的义务</w:t>
      </w:r>
      <w:bookmarkEnd w:id="116"/>
      <w:bookmarkEnd w:id="117"/>
    </w:p>
    <w:p w14:paraId="01BCC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bookmarkStart w:id="118" w:name="_Toc419045104"/>
      <w:bookmarkStart w:id="119" w:name="_Toc422322528"/>
      <w:r>
        <w:rPr>
          <w:rStyle w:val="17"/>
          <w:rFonts w:hint="eastAsia" w:ascii="仿宋_GB2312" w:hAnsi="仿宋_GB2312" w:eastAsia="仿宋_GB2312" w:cs="仿宋_GB2312"/>
          <w:b w:val="0"/>
          <w:color w:val="000000"/>
          <w:sz w:val="32"/>
          <w:szCs w:val="32"/>
          <w:highlight w:val="none"/>
          <w:shd w:val="clear" w:color="auto" w:fill="auto"/>
        </w:rPr>
        <w:t>2.1提供资料</w:t>
      </w:r>
      <w:bookmarkEnd w:id="118"/>
      <w:bookmarkEnd w:id="119"/>
    </w:p>
    <w:p w14:paraId="249D77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bidi="zh-CN"/>
        </w:rPr>
      </w:pPr>
      <w:r>
        <w:rPr>
          <w:rFonts w:hint="eastAsia" w:ascii="仿宋_GB2312" w:hAnsi="仿宋_GB2312" w:eastAsia="仿宋_GB2312" w:cs="仿宋_GB2312"/>
          <w:color w:val="000000"/>
          <w:sz w:val="32"/>
          <w:szCs w:val="32"/>
          <w:highlight w:val="none"/>
          <w:shd w:val="clear" w:color="auto" w:fill="auto"/>
        </w:rPr>
        <w:t>委托人按照附录C约定无偿向咨询人提供与本合同咨询业务有关资料的时间为：</w:t>
      </w:r>
      <w:r>
        <w:rPr>
          <w:rFonts w:hint="eastAsia" w:ascii="仿宋_GB2312" w:hAnsi="仿宋_GB2312" w:eastAsia="仿宋_GB2312" w:cs="仿宋_GB2312"/>
          <w:color w:val="000000"/>
          <w:sz w:val="32"/>
          <w:szCs w:val="32"/>
          <w:highlight w:val="none"/>
          <w:shd w:val="clear" w:color="auto" w:fill="auto"/>
          <w:lang w:bidi="zh-CN"/>
        </w:rPr>
        <w:t>按下列第</w:t>
      </w:r>
      <w:permStart w:id="81" w:edGrp="everyone"/>
      <w:r>
        <w:rPr>
          <w:rFonts w:hint="eastAsia" w:ascii="仿宋_GB2312" w:hAnsi="仿宋_GB2312" w:eastAsia="仿宋_GB2312" w:cs="仿宋_GB2312"/>
          <w:color w:val="000000"/>
          <w:sz w:val="32"/>
          <w:szCs w:val="32"/>
          <w:highlight w:val="none"/>
          <w:shd w:val="clear" w:color="auto" w:fill="auto"/>
          <w:lang w:bidi="zh-CN"/>
        </w:rPr>
        <w:t>（1）</w:t>
      </w:r>
      <w:permEnd w:id="81"/>
      <w:r>
        <w:rPr>
          <w:rFonts w:hint="eastAsia" w:ascii="仿宋_GB2312" w:hAnsi="仿宋_GB2312" w:eastAsia="仿宋_GB2312" w:cs="仿宋_GB2312"/>
          <w:color w:val="000000"/>
          <w:sz w:val="32"/>
          <w:szCs w:val="32"/>
          <w:highlight w:val="none"/>
          <w:shd w:val="clear" w:color="auto" w:fill="auto"/>
          <w:lang w:bidi="zh-CN"/>
        </w:rPr>
        <w:t>种方式：</w:t>
      </w:r>
    </w:p>
    <w:p w14:paraId="20FF0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bidi="zh-CN"/>
        </w:rPr>
      </w:pPr>
      <w:r>
        <w:rPr>
          <w:rFonts w:hint="eastAsia" w:ascii="仿宋_GB2312" w:hAnsi="仿宋_GB2312" w:eastAsia="仿宋_GB2312" w:cs="仿宋_GB2312"/>
          <w:color w:val="000000"/>
          <w:sz w:val="32"/>
          <w:szCs w:val="32"/>
          <w:highlight w:val="none"/>
          <w:shd w:val="clear" w:color="auto" w:fill="auto"/>
          <w:lang w:bidi="zh-CN"/>
        </w:rPr>
        <w:t>（1）视委托人实际情况定。</w:t>
      </w:r>
    </w:p>
    <w:p w14:paraId="3FA65F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bidi="zh-CN"/>
        </w:rPr>
      </w:pPr>
      <w:r>
        <w:rPr>
          <w:rFonts w:hint="eastAsia" w:ascii="仿宋_GB2312" w:hAnsi="仿宋_GB2312" w:eastAsia="仿宋_GB2312" w:cs="仿宋_GB2312"/>
          <w:color w:val="000000"/>
          <w:sz w:val="32"/>
          <w:szCs w:val="32"/>
          <w:highlight w:val="none"/>
          <w:shd w:val="clear" w:color="auto" w:fill="auto"/>
          <w:lang w:bidi="zh-CN"/>
        </w:rPr>
        <w:t>（2）合同生效之日起</w:t>
      </w:r>
      <w:permStart w:id="82" w:edGrp="everyone"/>
      <w:r>
        <w:rPr>
          <w:rFonts w:hint="eastAsia" w:ascii="仿宋_GB2312" w:hAnsi="仿宋_GB2312" w:eastAsia="仿宋_GB2312" w:cs="仿宋_GB2312"/>
          <w:color w:val="000000"/>
          <w:sz w:val="32"/>
          <w:szCs w:val="32"/>
          <w:highlight w:val="none"/>
          <w:u w:val="single"/>
          <w:shd w:val="clear" w:color="auto" w:fill="auto"/>
          <w:lang w:bidi="zh-CN"/>
        </w:rPr>
        <w:t xml:space="preserve"> </w:t>
      </w:r>
      <w:r>
        <w:rPr>
          <w:rFonts w:hint="eastAsia" w:ascii="仿宋_GB2312" w:hAnsi="仿宋_GB2312" w:eastAsia="仿宋_GB2312" w:cs="仿宋_GB2312"/>
          <w:color w:val="000000"/>
          <w:sz w:val="32"/>
          <w:szCs w:val="32"/>
          <w:highlight w:val="none"/>
          <w:u w:val="single"/>
          <w:shd w:val="clear" w:color="auto" w:fill="auto"/>
          <w:lang w:val="en-US" w:bidi="zh-CN"/>
        </w:rPr>
        <w:t>/</w:t>
      </w:r>
      <w:permEnd w:id="82"/>
      <w:r>
        <w:rPr>
          <w:rFonts w:hint="eastAsia" w:ascii="仿宋_GB2312" w:hAnsi="仿宋_GB2312" w:eastAsia="仿宋_GB2312" w:cs="仿宋_GB2312"/>
          <w:color w:val="000000"/>
          <w:sz w:val="32"/>
          <w:szCs w:val="32"/>
          <w:highlight w:val="none"/>
          <w:shd w:val="clear" w:color="auto" w:fill="auto"/>
          <w:lang w:bidi="zh-CN"/>
        </w:rPr>
        <w:t>日内。</w:t>
      </w:r>
    </w:p>
    <w:p w14:paraId="2972B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bidi="zh-CN"/>
        </w:rPr>
      </w:pPr>
      <w:r>
        <w:rPr>
          <w:rFonts w:hint="eastAsia" w:ascii="仿宋_GB2312" w:hAnsi="仿宋_GB2312" w:eastAsia="仿宋_GB2312" w:cs="仿宋_GB2312"/>
          <w:color w:val="000000"/>
          <w:sz w:val="32"/>
          <w:szCs w:val="32"/>
          <w:highlight w:val="none"/>
          <w:shd w:val="clear" w:color="auto" w:fill="auto"/>
          <w:lang w:bidi="zh-CN"/>
        </w:rPr>
        <w:t>委托人按照</w:t>
      </w:r>
      <w:r>
        <w:rPr>
          <w:rFonts w:hint="eastAsia" w:ascii="仿宋_GB2312" w:hAnsi="仿宋_GB2312" w:eastAsia="仿宋_GB2312" w:cs="仿宋_GB2312"/>
          <w:color w:val="000000"/>
          <w:sz w:val="32"/>
          <w:szCs w:val="32"/>
          <w:highlight w:val="none"/>
          <w:shd w:val="clear" w:color="auto" w:fill="auto"/>
        </w:rPr>
        <w:t>附录C</w:t>
      </w:r>
      <w:r>
        <w:rPr>
          <w:rFonts w:hint="eastAsia" w:ascii="仿宋_GB2312" w:hAnsi="仿宋_GB2312" w:eastAsia="仿宋_GB2312" w:cs="仿宋_GB2312"/>
          <w:color w:val="000000"/>
          <w:sz w:val="32"/>
          <w:szCs w:val="32"/>
          <w:highlight w:val="none"/>
          <w:shd w:val="clear" w:color="auto" w:fill="auto"/>
          <w:lang w:bidi="zh-CN"/>
        </w:rPr>
        <w:t>向咨询人提供资料后3日内，咨询人应予以盖章确认，如逾期未盖章确认或未提出书面异议的，视为委托人提供资料义务履行完毕。</w:t>
      </w:r>
    </w:p>
    <w:p w14:paraId="0F4C96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bookmarkStart w:id="120" w:name="_Toc422322529"/>
      <w:bookmarkStart w:id="121" w:name="_Toc419045105"/>
      <w:r>
        <w:rPr>
          <w:rStyle w:val="17"/>
          <w:rFonts w:hint="eastAsia" w:ascii="仿宋_GB2312" w:hAnsi="仿宋_GB2312" w:eastAsia="仿宋_GB2312" w:cs="仿宋_GB2312"/>
          <w:b w:val="0"/>
          <w:color w:val="000000"/>
          <w:sz w:val="32"/>
          <w:szCs w:val="32"/>
          <w:highlight w:val="none"/>
          <w:shd w:val="clear" w:color="auto" w:fill="auto"/>
        </w:rPr>
        <w:t>2.2提供工作条件</w:t>
      </w:r>
      <w:bookmarkEnd w:id="120"/>
      <w:bookmarkEnd w:id="121"/>
    </w:p>
    <w:p w14:paraId="6EB03F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2.2.1项目咨询人员使用附录D中由委托人提供的房屋及设备，支付使用费的标准为：</w:t>
      </w:r>
      <w:permStart w:id="83"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w:t>
      </w:r>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83"/>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w:t>
      </w:r>
    </w:p>
    <w:p w14:paraId="2806F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122" w:name="_Toc422322530"/>
      <w:bookmarkStart w:id="123" w:name="_Toc419045106"/>
      <w:r>
        <w:rPr>
          <w:rStyle w:val="17"/>
          <w:rFonts w:hint="eastAsia" w:ascii="仿宋_GB2312" w:hAnsi="仿宋_GB2312" w:eastAsia="仿宋_GB2312" w:cs="仿宋_GB2312"/>
          <w:b w:val="0"/>
          <w:color w:val="000000"/>
          <w:sz w:val="32"/>
          <w:szCs w:val="32"/>
          <w:highlight w:val="none"/>
          <w:shd w:val="clear" w:color="auto" w:fill="auto"/>
        </w:rPr>
        <w:t>2.4委托人代表</w:t>
      </w:r>
      <w:bookmarkEnd w:id="122"/>
      <w:bookmarkEnd w:id="123"/>
    </w:p>
    <w:p w14:paraId="39D6C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委托人代表为：_</w:t>
      </w:r>
      <w:permStart w:id="84" w:edGrp="everyone"/>
      <w:r>
        <w:rPr>
          <w:rFonts w:hint="eastAsia" w:ascii="仿宋_GB2312" w:hAnsi="仿宋_GB2312" w:eastAsia="仿宋_GB2312" w:cs="仿宋_GB2312"/>
          <w:color w:val="000000"/>
          <w:sz w:val="32"/>
          <w:szCs w:val="32"/>
          <w:highlight w:val="none"/>
          <w:u w:val="single"/>
          <w:shd w:val="clear" w:color="auto" w:fill="auto"/>
        </w:rPr>
        <w:t>详见附件H</w:t>
      </w:r>
      <w:permEnd w:id="84"/>
      <w:r>
        <w:rPr>
          <w:rFonts w:hint="eastAsia" w:ascii="仿宋_GB2312" w:hAnsi="仿宋_GB2312" w:eastAsia="仿宋_GB2312" w:cs="仿宋_GB2312"/>
          <w:color w:val="000000"/>
          <w:sz w:val="32"/>
          <w:szCs w:val="32"/>
          <w:highlight w:val="none"/>
          <w:shd w:val="clear" w:color="auto" w:fill="auto"/>
        </w:rPr>
        <w:t>，其权限范围：_</w:t>
      </w:r>
      <w:permStart w:id="85" w:edGrp="everyone"/>
      <w:r>
        <w:rPr>
          <w:rFonts w:hint="eastAsia" w:ascii="仿宋_GB2312" w:hAnsi="仿宋_GB2312" w:eastAsia="仿宋_GB2312" w:cs="仿宋_GB2312"/>
          <w:color w:val="000000"/>
          <w:sz w:val="32"/>
          <w:szCs w:val="32"/>
          <w:highlight w:val="none"/>
          <w:u w:val="single"/>
          <w:shd w:val="clear" w:color="auto" w:fill="auto"/>
        </w:rPr>
        <w:t>代表委托人对本工程造价咨询服务质量、进度及成果文件验收。对咨询人的造价咨询服务工作进行监督，协调解决由委托人处理的有关问题</w:t>
      </w:r>
      <w:r>
        <w:rPr>
          <w:rFonts w:hint="eastAsia" w:ascii="仿宋_GB2312" w:hAnsi="仿宋_GB2312" w:eastAsia="仿宋_GB2312" w:cs="仿宋_GB2312"/>
          <w:color w:val="000000"/>
          <w:sz w:val="32"/>
          <w:szCs w:val="32"/>
          <w:highlight w:val="none"/>
          <w:shd w:val="clear" w:color="auto" w:fill="auto"/>
        </w:rPr>
        <w:t>_</w:t>
      </w:r>
      <w:permEnd w:id="85"/>
      <w:r>
        <w:rPr>
          <w:rFonts w:hint="eastAsia" w:ascii="仿宋_GB2312" w:hAnsi="仿宋_GB2312" w:eastAsia="仿宋_GB2312" w:cs="仿宋_GB2312"/>
          <w:color w:val="000000"/>
          <w:sz w:val="32"/>
          <w:szCs w:val="32"/>
          <w:highlight w:val="none"/>
          <w:shd w:val="clear" w:color="auto" w:fill="auto"/>
        </w:rPr>
        <w:t>。</w:t>
      </w:r>
      <w:bookmarkStart w:id="124" w:name="_Toc422322531"/>
    </w:p>
    <w:p w14:paraId="41A60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rPr>
        <w:t>2.5答复</w:t>
      </w:r>
      <w:bookmarkEnd w:id="124"/>
    </w:p>
    <w:p w14:paraId="110AD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委托人同意在_</w:t>
      </w:r>
      <w:r>
        <w:rPr>
          <w:rFonts w:hint="eastAsia" w:ascii="仿宋_GB2312" w:hAnsi="仿宋_GB2312" w:eastAsia="仿宋_GB2312" w:cs="仿宋_GB2312"/>
          <w:color w:val="000000"/>
          <w:sz w:val="32"/>
          <w:szCs w:val="32"/>
          <w:highlight w:val="none"/>
          <w:shd w:val="clear" w:color="auto" w:fill="auto"/>
          <w:lang w:val="en-US" w:eastAsia="zh-CN"/>
        </w:rPr>
        <w:t>7</w:t>
      </w:r>
      <w:r>
        <w:rPr>
          <w:rFonts w:hint="eastAsia" w:ascii="仿宋_GB2312" w:hAnsi="仿宋_GB2312" w:eastAsia="仿宋_GB2312" w:cs="仿宋_GB2312"/>
          <w:color w:val="000000"/>
          <w:sz w:val="32"/>
          <w:szCs w:val="32"/>
          <w:highlight w:val="none"/>
          <w:shd w:val="clear" w:color="auto" w:fill="auto"/>
        </w:rPr>
        <w:t>日内，对咨询人书面提交并要求做出决定的事宜给予书面答复。</w:t>
      </w:r>
    </w:p>
    <w:p w14:paraId="5E28B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shd w:val="clear" w:color="auto" w:fill="auto"/>
        </w:rPr>
      </w:pPr>
      <w:bookmarkStart w:id="125" w:name="_Toc422322532"/>
      <w:bookmarkStart w:id="126" w:name="_Toc419045107"/>
      <w:r>
        <w:rPr>
          <w:rFonts w:hint="eastAsia" w:ascii="黑体" w:hAnsi="黑体" w:eastAsia="黑体" w:cs="黑体"/>
          <w:b w:val="0"/>
          <w:bCs/>
          <w:color w:val="000000"/>
          <w:sz w:val="32"/>
          <w:szCs w:val="32"/>
          <w:highlight w:val="none"/>
          <w:shd w:val="clear" w:color="auto" w:fill="auto"/>
        </w:rPr>
        <w:t>3.咨询人的义务</w:t>
      </w:r>
      <w:bookmarkEnd w:id="125"/>
      <w:bookmarkEnd w:id="126"/>
    </w:p>
    <w:p w14:paraId="2F4314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127" w:name="_Toc422322533"/>
      <w:bookmarkStart w:id="128" w:name="_Toc419045109"/>
      <w:r>
        <w:rPr>
          <w:rFonts w:hint="eastAsia" w:ascii="仿宋_GB2312" w:hAnsi="仿宋_GB2312" w:eastAsia="仿宋_GB2312" w:cs="仿宋_GB2312"/>
          <w:color w:val="000000"/>
          <w:sz w:val="32"/>
          <w:szCs w:val="32"/>
          <w:highlight w:val="none"/>
          <w:shd w:val="clear" w:color="auto" w:fill="auto"/>
        </w:rPr>
        <w:t>3.1项目咨询团队及人员</w:t>
      </w:r>
      <w:bookmarkEnd w:id="127"/>
      <w:bookmarkEnd w:id="128"/>
    </w:p>
    <w:p w14:paraId="59C1C3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3.1.1项目咨询团队的负责人或主要人员应具有</w:t>
      </w:r>
      <w:permStart w:id="86" w:edGrp="everyone"/>
      <w:r>
        <w:rPr>
          <w:rFonts w:hint="eastAsia" w:ascii="仿宋_GB2312" w:hAnsi="仿宋_GB2312" w:eastAsia="仿宋_GB2312" w:cs="仿宋_GB2312"/>
          <w:color w:val="000000"/>
          <w:sz w:val="32"/>
          <w:szCs w:val="32"/>
          <w:highlight w:val="none"/>
          <w:u w:val="single"/>
          <w:shd w:val="clear" w:color="auto" w:fill="auto"/>
        </w:rPr>
        <w:t>国家注册造价工程师或一级造价工程师资格</w:t>
      </w:r>
      <w:r>
        <w:rPr>
          <w:rFonts w:hint="eastAsia" w:ascii="仿宋_GB2312" w:hAnsi="仿宋_GB2312" w:eastAsia="仿宋_GB2312" w:cs="仿宋_GB2312"/>
          <w:color w:val="000000"/>
          <w:sz w:val="32"/>
          <w:szCs w:val="32"/>
          <w:highlight w:val="none"/>
          <w:u w:val="single"/>
          <w:shd w:val="clear" w:color="auto" w:fill="auto"/>
          <w:lang w:eastAsia="zh-CN"/>
        </w:rPr>
        <w:t>，</w:t>
      </w:r>
      <w:permEnd w:id="86"/>
      <w:r>
        <w:rPr>
          <w:rFonts w:hint="eastAsia" w:ascii="仿宋_GB2312" w:hAnsi="仿宋_GB2312" w:eastAsia="仿宋_GB2312" w:cs="仿宋_GB2312"/>
          <w:color w:val="000000"/>
          <w:sz w:val="32"/>
          <w:szCs w:val="32"/>
          <w:highlight w:val="none"/>
          <w:shd w:val="clear" w:color="auto" w:fill="auto"/>
        </w:rPr>
        <w:t>资格条件，团队人员的数量（详见附录</w:t>
      </w:r>
      <w:r>
        <w:rPr>
          <w:rFonts w:hint="eastAsia" w:ascii="仿宋_GB2312" w:hAnsi="仿宋_GB2312" w:eastAsia="仿宋_GB2312" w:cs="仿宋_GB2312"/>
          <w:color w:val="000000"/>
          <w:sz w:val="32"/>
          <w:szCs w:val="32"/>
          <w:highlight w:val="none"/>
          <w:shd w:val="clear" w:color="auto" w:fill="auto"/>
          <w:lang w:val="en-US" w:eastAsia="zh-CN"/>
        </w:rPr>
        <w:t>F</w:t>
      </w:r>
      <w:r>
        <w:rPr>
          <w:rFonts w:hint="eastAsia" w:ascii="仿宋_GB2312" w:hAnsi="仿宋_GB2312" w:eastAsia="仿宋_GB2312" w:cs="仿宋_GB2312"/>
          <w:color w:val="000000"/>
          <w:sz w:val="32"/>
          <w:szCs w:val="32"/>
          <w:highlight w:val="none"/>
          <w:shd w:val="clear" w:color="auto" w:fill="auto"/>
        </w:rPr>
        <w:t>）。</w:t>
      </w:r>
    </w:p>
    <w:p w14:paraId="445498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3.1.2项目负责人为：</w:t>
      </w:r>
      <w:permStart w:id="87" w:edGrp="everyone"/>
      <w:r>
        <w:rPr>
          <w:rFonts w:hint="eastAsia" w:ascii="仿宋_GB2312" w:hAnsi="仿宋_GB2312" w:eastAsia="仿宋_GB2312" w:cs="仿宋_GB2312"/>
          <w:color w:val="000000"/>
          <w:sz w:val="32"/>
          <w:szCs w:val="32"/>
          <w:highlight w:val="none"/>
          <w:u w:val="single"/>
          <w:shd w:val="clear" w:color="auto" w:fill="auto"/>
        </w:rPr>
        <w:t>详见附件</w:t>
      </w:r>
      <w:r>
        <w:rPr>
          <w:rFonts w:hint="eastAsia" w:ascii="仿宋_GB2312" w:hAnsi="仿宋_GB2312" w:eastAsia="仿宋_GB2312" w:cs="仿宋_GB2312"/>
          <w:color w:val="000000"/>
          <w:sz w:val="32"/>
          <w:szCs w:val="32"/>
          <w:highlight w:val="none"/>
          <w:u w:val="single"/>
          <w:shd w:val="clear" w:color="auto" w:fill="auto"/>
          <w:lang w:val="en-US" w:eastAsia="zh-CN"/>
        </w:rPr>
        <w:t>I</w:t>
      </w:r>
      <w:permEnd w:id="87"/>
      <w:r>
        <w:rPr>
          <w:rFonts w:hint="eastAsia" w:ascii="仿宋_GB2312" w:hAnsi="仿宋_GB2312" w:eastAsia="仿宋_GB2312" w:cs="仿宋_GB2312"/>
          <w:color w:val="000000"/>
          <w:sz w:val="32"/>
          <w:szCs w:val="32"/>
          <w:highlight w:val="none"/>
          <w:shd w:val="clear" w:color="auto" w:fill="auto"/>
        </w:rPr>
        <w:t>，项目负责人为履行本合同的权限为：</w:t>
      </w:r>
      <w:permStart w:id="88" w:edGrp="everyone"/>
      <w:r>
        <w:rPr>
          <w:rFonts w:hint="eastAsia" w:ascii="仿宋_GB2312" w:hAnsi="仿宋_GB2312" w:eastAsia="仿宋_GB2312" w:cs="仿宋_GB2312"/>
          <w:color w:val="000000"/>
          <w:sz w:val="32"/>
          <w:szCs w:val="32"/>
          <w:highlight w:val="none"/>
          <w:shd w:val="clear" w:color="auto" w:fill="auto"/>
        </w:rPr>
        <w:t>_</w:t>
      </w:r>
      <w:r>
        <w:rPr>
          <w:rFonts w:hint="eastAsia" w:ascii="仿宋_GB2312" w:hAnsi="仿宋_GB2312" w:eastAsia="仿宋_GB2312" w:cs="仿宋_GB2312"/>
          <w:color w:val="000000"/>
          <w:sz w:val="32"/>
          <w:szCs w:val="32"/>
          <w:highlight w:val="none"/>
          <w:u w:val="single"/>
          <w:shd w:val="clear" w:color="auto" w:fill="auto"/>
        </w:rPr>
        <w:t>负责带领团队完成本合同全部服务内容（详见附录A）</w:t>
      </w:r>
      <w:r>
        <w:rPr>
          <w:rFonts w:hint="eastAsia" w:ascii="仿宋_GB2312" w:hAnsi="仿宋_GB2312" w:eastAsia="仿宋_GB2312" w:cs="仿宋_GB2312"/>
          <w:color w:val="000000"/>
          <w:sz w:val="32"/>
          <w:szCs w:val="32"/>
          <w:highlight w:val="none"/>
          <w:shd w:val="clear" w:color="auto" w:fill="auto"/>
        </w:rPr>
        <w:t>__</w:t>
      </w:r>
      <w:permEnd w:id="88"/>
      <w:r>
        <w:rPr>
          <w:rFonts w:hint="eastAsia" w:ascii="仿宋_GB2312" w:hAnsi="仿宋_GB2312" w:eastAsia="仿宋_GB2312" w:cs="仿宋_GB2312"/>
          <w:color w:val="000000"/>
          <w:sz w:val="32"/>
          <w:szCs w:val="32"/>
          <w:highlight w:val="none"/>
          <w:shd w:val="clear" w:color="auto" w:fill="auto"/>
        </w:rPr>
        <w:t>。</w:t>
      </w:r>
    </w:p>
    <w:p w14:paraId="2CEA2042">
      <w:pPr>
        <w:pStyle w:val="1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3.1.3咨询人更换项目</w:t>
      </w:r>
      <w:r>
        <w:rPr>
          <w:rFonts w:hint="eastAsia" w:ascii="仿宋_GB2312" w:hAnsi="仿宋_GB2312" w:eastAsia="仿宋_GB2312" w:cs="仿宋_GB2312"/>
          <w:sz w:val="32"/>
          <w:szCs w:val="32"/>
          <w:highlight w:val="none"/>
          <w:shd w:val="clear" w:color="auto" w:fill="auto"/>
        </w:rPr>
        <w:t>咨询团队其他咨询人员的约定：_</w:t>
      </w:r>
      <w:r>
        <w:rPr>
          <w:rFonts w:hint="eastAsia" w:ascii="仿宋_GB2312" w:hAnsi="仿宋_GB2312" w:eastAsia="仿宋_GB2312" w:cs="仿宋_GB2312"/>
          <w:kern w:val="0"/>
          <w:sz w:val="32"/>
          <w:szCs w:val="32"/>
          <w:highlight w:val="none"/>
          <w:u w:val="single"/>
          <w:shd w:val="clear" w:color="auto" w:fill="auto"/>
        </w:rPr>
        <w:t>咨询人可根据工程进度要求、工作需求、工程进展等与服务内容相关的情形微调项目咨询团队的内部参与人员，但不得随意更换项目负责人。无论任何原因更换确定项目负责人，每更换一次项目负责人，咨询人应向委托人支付违约金2万元；如咨询人需更换项目负责人时，由咨询人提前7日历天出具函件向委托人书面报告原因并提供合理合规的证明材料，更换的项目负责人不得低于招标时委托人要求，咨询人应向委托人提供相关材料以供核查</w:t>
      </w:r>
      <w:r>
        <w:rPr>
          <w:rFonts w:hint="eastAsia" w:ascii="仿宋_GB2312" w:hAnsi="仿宋_GB2312" w:eastAsia="仿宋_GB2312" w:cs="仿宋_GB2312"/>
          <w:sz w:val="32"/>
          <w:szCs w:val="32"/>
          <w:highlight w:val="none"/>
          <w:shd w:val="clear" w:color="auto" w:fill="auto"/>
        </w:rPr>
        <w:t>。</w:t>
      </w:r>
    </w:p>
    <w:p w14:paraId="26F96A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3.1.4委托人要求更换咨询人员的情形还包括：</w:t>
      </w:r>
      <w:r>
        <w:rPr>
          <w:rFonts w:hint="eastAsia" w:ascii="仿宋_GB2312" w:hAnsi="仿宋_GB2312" w:eastAsia="仿宋_GB2312" w:cs="仿宋_GB2312"/>
          <w:color w:val="000000"/>
          <w:sz w:val="32"/>
          <w:szCs w:val="32"/>
          <w:highlight w:val="none"/>
          <w:u w:val="single"/>
          <w:shd w:val="clear" w:color="auto" w:fill="auto"/>
        </w:rPr>
        <w:t>咨询人在咨询服务过程中失职</w:t>
      </w:r>
      <w:r>
        <w:rPr>
          <w:rFonts w:hint="eastAsia" w:ascii="仿宋_GB2312" w:hAnsi="仿宋_GB2312" w:eastAsia="仿宋_GB2312" w:cs="仿宋_GB2312"/>
          <w:color w:val="000000"/>
          <w:sz w:val="32"/>
          <w:szCs w:val="32"/>
          <w:highlight w:val="none"/>
          <w:shd w:val="clear" w:color="auto" w:fill="auto"/>
        </w:rPr>
        <w:t>。</w:t>
      </w:r>
    </w:p>
    <w:p w14:paraId="5BEC64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129" w:name="_Toc419045110"/>
      <w:bookmarkStart w:id="130" w:name="_Toc422322534"/>
      <w:r>
        <w:rPr>
          <w:rFonts w:hint="eastAsia" w:ascii="仿宋_GB2312" w:hAnsi="仿宋_GB2312" w:eastAsia="仿宋_GB2312" w:cs="仿宋_GB2312"/>
          <w:color w:val="000000"/>
          <w:sz w:val="32"/>
          <w:szCs w:val="32"/>
          <w:highlight w:val="none"/>
          <w:shd w:val="clear" w:color="auto" w:fill="auto"/>
        </w:rPr>
        <w:t>3.2咨询人的工作要求</w:t>
      </w:r>
      <w:bookmarkEnd w:id="129"/>
      <w:bookmarkEnd w:id="130"/>
    </w:p>
    <w:p w14:paraId="66F876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highlight w:val="none"/>
          <w:u w:val="single"/>
          <w:shd w:val="clear" w:color="auto" w:fill="auto"/>
        </w:rPr>
      </w:pPr>
      <w:r>
        <w:rPr>
          <w:rFonts w:hint="eastAsia" w:ascii="仿宋_GB2312" w:hAnsi="仿宋_GB2312" w:eastAsia="仿宋_GB2312" w:cs="仿宋_GB2312"/>
          <w:color w:val="000000"/>
          <w:sz w:val="32"/>
          <w:szCs w:val="32"/>
          <w:highlight w:val="none"/>
          <w:shd w:val="clear" w:color="auto" w:fill="auto"/>
        </w:rPr>
        <w:t>3.2.1咨询人向委托人提供有关资料的时间：</w:t>
      </w:r>
      <w:permStart w:id="89" w:edGrp="everyone"/>
      <w:r>
        <w:rPr>
          <w:rFonts w:hint="eastAsia" w:ascii="仿宋_GB2312" w:hAnsi="仿宋_GB2312" w:eastAsia="仿宋_GB2312" w:cs="仿宋_GB2312"/>
          <w:color w:val="000000"/>
          <w:sz w:val="32"/>
          <w:szCs w:val="32"/>
          <w:highlight w:val="none"/>
          <w:u w:val="single"/>
          <w:shd w:val="clear" w:color="auto" w:fill="auto"/>
        </w:rPr>
        <w:t>自本合同生效之日起</w:t>
      </w:r>
      <w:r>
        <w:rPr>
          <w:rFonts w:hint="eastAsia" w:ascii="仿宋_GB2312" w:hAnsi="仿宋_GB2312" w:eastAsia="仿宋_GB2312" w:cs="仿宋_GB2312"/>
          <w:color w:val="000000"/>
          <w:sz w:val="32"/>
          <w:szCs w:val="32"/>
          <w:highlight w:val="none"/>
          <w:u w:val="single"/>
          <w:shd w:val="clear" w:color="auto" w:fill="auto"/>
          <w:lang w:val="en-US" w:eastAsia="zh-CN"/>
        </w:rPr>
        <w:t>7</w:t>
      </w:r>
      <w:r>
        <w:rPr>
          <w:rFonts w:hint="eastAsia" w:ascii="仿宋_GB2312" w:hAnsi="仿宋_GB2312" w:eastAsia="仿宋_GB2312" w:cs="仿宋_GB2312"/>
          <w:color w:val="000000"/>
          <w:sz w:val="32"/>
          <w:szCs w:val="32"/>
          <w:highlight w:val="none"/>
          <w:u w:val="single"/>
          <w:shd w:val="clear" w:color="auto" w:fill="auto"/>
        </w:rPr>
        <w:t>日内</w:t>
      </w:r>
      <w:permEnd w:id="89"/>
      <w:r>
        <w:rPr>
          <w:rFonts w:hint="eastAsia" w:ascii="仿宋_GB2312" w:hAnsi="仿宋_GB2312" w:eastAsia="仿宋_GB2312" w:cs="仿宋_GB2312"/>
          <w:color w:val="000000"/>
          <w:sz w:val="32"/>
          <w:szCs w:val="32"/>
          <w:highlight w:val="none"/>
          <w:shd w:val="clear" w:color="auto" w:fill="auto"/>
        </w:rPr>
        <w:t>。咨询人向委托人提供的资料还包括：</w:t>
      </w:r>
      <w:permStart w:id="90" w:edGrp="everyone"/>
      <w:r>
        <w:rPr>
          <w:rFonts w:hint="eastAsia" w:ascii="仿宋_GB2312" w:hAnsi="仿宋_GB2312" w:eastAsia="仿宋_GB2312" w:cs="仿宋_GB2312"/>
          <w:color w:val="000000"/>
          <w:sz w:val="32"/>
          <w:szCs w:val="32"/>
          <w:highlight w:val="none"/>
          <w:shd w:val="clear" w:color="auto" w:fill="auto"/>
        </w:rPr>
        <w:t>详见附件C</w:t>
      </w:r>
      <w:permEnd w:id="90"/>
      <w:r>
        <w:rPr>
          <w:rFonts w:hint="eastAsia" w:ascii="仿宋_GB2312" w:hAnsi="仿宋_GB2312" w:eastAsia="仿宋_GB2312" w:cs="仿宋_GB2312"/>
          <w:color w:val="000000"/>
          <w:sz w:val="32"/>
          <w:szCs w:val="32"/>
          <w:highlight w:val="none"/>
          <w:shd w:val="clear" w:color="auto" w:fill="auto"/>
        </w:rPr>
        <w:t>。</w:t>
      </w:r>
    </w:p>
    <w:p w14:paraId="0E94F2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3.2.2咨询人向委托人提供咨询成果文件的名称、组成、时间、份数及质量标准：</w:t>
      </w:r>
      <w:permStart w:id="91" w:edGrp="everyone"/>
      <w:r>
        <w:rPr>
          <w:rFonts w:hint="eastAsia" w:ascii="仿宋_GB2312" w:hAnsi="仿宋_GB2312" w:eastAsia="仿宋_GB2312" w:cs="仿宋_GB2312"/>
          <w:color w:val="000000"/>
          <w:sz w:val="32"/>
          <w:szCs w:val="32"/>
          <w:highlight w:val="none"/>
          <w:u w:val="single"/>
          <w:shd w:val="clear" w:color="auto" w:fill="auto"/>
        </w:rPr>
        <w:t>成果报告纸质版</w:t>
      </w:r>
      <w:r>
        <w:rPr>
          <w:rFonts w:hint="eastAsia" w:ascii="仿宋_GB2312" w:hAnsi="仿宋_GB2312" w:eastAsia="仿宋_GB2312" w:cs="仿宋_GB2312"/>
          <w:color w:val="000000"/>
          <w:sz w:val="32"/>
          <w:szCs w:val="32"/>
          <w:highlight w:val="none"/>
          <w:u w:val="single"/>
          <w:shd w:val="clear" w:color="auto" w:fill="auto"/>
          <w:lang w:val="en-US" w:eastAsia="zh-CN"/>
        </w:rPr>
        <w:t>4</w:t>
      </w:r>
      <w:r>
        <w:rPr>
          <w:rFonts w:hint="eastAsia" w:ascii="仿宋_GB2312" w:hAnsi="仿宋_GB2312" w:eastAsia="仿宋_GB2312" w:cs="仿宋_GB2312"/>
          <w:color w:val="000000"/>
          <w:sz w:val="32"/>
          <w:szCs w:val="32"/>
          <w:highlight w:val="none"/>
          <w:u w:val="single"/>
          <w:shd w:val="clear" w:color="auto" w:fill="auto"/>
        </w:rPr>
        <w:t>份（以及电子版）</w:t>
      </w:r>
      <w:permEnd w:id="91"/>
      <w:r>
        <w:rPr>
          <w:rFonts w:hint="eastAsia" w:ascii="仿宋_GB2312" w:hAnsi="仿宋_GB2312" w:eastAsia="仿宋_GB2312" w:cs="仿宋_GB2312"/>
          <w:color w:val="000000"/>
          <w:sz w:val="32"/>
          <w:szCs w:val="32"/>
          <w:highlight w:val="none"/>
          <w:shd w:val="clear" w:color="auto" w:fill="auto"/>
        </w:rPr>
        <w:t>，满足海南省现行造价咨询规范标准，以及委托人要求。咨询人应对成果文件的真实性、合法性、完整性及适用性负责。详见附录B。</w:t>
      </w:r>
    </w:p>
    <w:p w14:paraId="439A28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3.2.4咨询人应在收到委托人以书面形式提出的建议或者异议后1日内给予书面答复，规定时间内未回复意见视为无异议。</w:t>
      </w:r>
    </w:p>
    <w:p w14:paraId="003F2CA4">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3.2.5 咨询人在本合同签订后即行开展工作，由于咨询人自身原因，延期交付委托人下达指令的成果文件，每逾期一日应减收本合同对应服务阶段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的2%。咨询人不按合同要求或不按服务期限进度提交工作成果或完成工作内容的，在委托人书面通知后五日内仍没有改正的，委托人有权解除本合同及接管工程现场，委托另一家技术服务单位继续工作，咨询人应按照</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的10%向委托人支付违约金，且配合委托人的一切安排并负责赔偿委托人的一切经济损失，同时委托人有权拒绝支付咨询费。</w:t>
      </w:r>
    </w:p>
    <w:p w14:paraId="6A8A1618">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3.2.6 咨询人应根据国家、地区及行业的有关政策、法规及规范要求，按时向委托人提交咨询成果并严格控制咨询成果质量。咨询人提供的咨询成果不符合国家、省市有关政策规定要求的，咨询人应无条件完善、修改。如果咨询人提交的成果文件未被委托人或国家有关部门（或地区政府相关主管部门）认可，则咨询人应继续修改并提交委托人上报，直至被委托人或国家有关部门（或地区政府相关主管部门）认可受理为止，此过程咨询人不再另行收费。</w:t>
      </w:r>
    </w:p>
    <w:p w14:paraId="194C967E">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3.2.7 咨询人应对本项目委托人提供的资料承担保密义务。如违反本条约定，委托人有权解除合同，并要求咨询人支付</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20%的违约金，如违约金不足以弥补委托人实际损失的，咨询人仍应足额赔偿。</w:t>
      </w:r>
    </w:p>
    <w:p w14:paraId="08138E1C">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3.2.8 未经委托人同意，咨询人不得擅自将咨询成果提供给第三方使用。如违反本条约定，委托人有权解除合同，并要求咨询人支付</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20%的违约金，如违约金不足以弥补委托人实际损失的，咨询人仍应足额赔偿。</w:t>
      </w:r>
    </w:p>
    <w:p w14:paraId="024F4940">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3.2.9 未经委托人书面同意，咨询人不得委托他方代为履行合同；不得将本合同项下的任何服务转移给任何第三方，同时咨询人承诺具备提供本合同项下服务的资质或授权。如违反本条约定，委托人有权解除合同，并要求咨询人支付</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10%的违约金，如违约金不足以弥补委托人实际损失的，咨询人仍应足额赔偿。</w:t>
      </w:r>
    </w:p>
    <w:p w14:paraId="1867CD7B">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3.2.10 咨询人对咨询成果的真实性、准确性、结论负责。如因咨询成果的不准确造成的法律责任，全部由咨询人承担，造成委托人损失以及委托人代为垫付第三方的费用，最终均由咨询人负担。</w:t>
      </w:r>
    </w:p>
    <w:p w14:paraId="61D8F7C0">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3.2.11 咨询人须踏勘委托人所提供的场地、周围环境及了解资料，掌握所有与本合同履行有关的情况，合同签订后咨询人以不清楚场地或环境以及其他理由为借口提出的任何索赔及实际工作量的增加均不予考虑。</w:t>
      </w:r>
    </w:p>
    <w:p w14:paraId="787780AD">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3.2.12 咨询人不得与咨询项目的施工方等关联人发生不正当的利益输送关系，发生此类情况一经核实，委托人将有权立即解除合同，并要求咨询人退还已支付款项，咨询人还需支付</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100%的违约金，如违约金不足以弥补委托人实际损失的，咨询人仍应足额赔偿。委托人保留向主管部门报告的权利。</w:t>
      </w:r>
    </w:p>
    <w:p w14:paraId="5BAA3C9E">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shd w:val="clear" w:color="auto" w:fill="auto"/>
        </w:rPr>
        <w:t xml:space="preserve">3.2.13 </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须在接到</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驻场书面通知的3日内安排人员驻场。若</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在接到</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书面通知的3日内驻场人员未满足合同人数要求，每拖延1天将处罚</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500元/天·人的违约金，该违约金可于</w:t>
      </w:r>
      <w:r>
        <w:rPr>
          <w:rFonts w:hint="eastAsia" w:ascii="仿宋_GB2312" w:hAnsi="仿宋_GB2312" w:eastAsia="仿宋_GB2312" w:cs="仿宋_GB2312"/>
          <w:color w:val="000000"/>
          <w:sz w:val="32"/>
          <w:szCs w:val="32"/>
          <w:highlight w:val="none"/>
          <w:shd w:val="clear" w:color="auto" w:fill="auto"/>
          <w:lang w:val="en-US" w:eastAsia="zh-CN"/>
        </w:rPr>
        <w:t>应付未付</w:t>
      </w:r>
      <w:r>
        <w:rPr>
          <w:rFonts w:hint="eastAsia" w:ascii="仿宋_GB2312" w:hAnsi="仿宋_GB2312" w:eastAsia="仿宋_GB2312" w:cs="仿宋_GB2312"/>
          <w:color w:val="000000"/>
          <w:sz w:val="32"/>
          <w:szCs w:val="32"/>
          <w:highlight w:val="none"/>
          <w:shd w:val="clear" w:color="auto" w:fill="auto"/>
        </w:rPr>
        <w:t>给</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的任何服务费中扣除，直至</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据此解除合同并要求</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承担相应的</w:t>
      </w:r>
      <w:r>
        <w:rPr>
          <w:rFonts w:hint="eastAsia" w:ascii="仿宋_GB2312" w:hAnsi="仿宋_GB2312" w:eastAsia="仿宋_GB2312" w:cs="仿宋_GB2312"/>
          <w:color w:val="000000"/>
          <w:sz w:val="32"/>
          <w:szCs w:val="32"/>
          <w:highlight w:val="none"/>
          <w:shd w:val="clear" w:color="auto" w:fill="auto"/>
          <w:lang w:eastAsia="zh-CN"/>
        </w:rPr>
        <w:t>违约责任</w:t>
      </w:r>
      <w:r>
        <w:rPr>
          <w:rFonts w:hint="eastAsia" w:ascii="仿宋_GB2312" w:hAnsi="仿宋_GB2312" w:eastAsia="仿宋_GB2312" w:cs="仿宋_GB2312"/>
          <w:color w:val="000000"/>
          <w:sz w:val="32"/>
          <w:szCs w:val="32"/>
          <w:highlight w:val="none"/>
          <w:shd w:val="clear" w:color="auto" w:fill="auto"/>
        </w:rPr>
        <w:t>。同时</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保留法律诉讼的权利</w:t>
      </w:r>
      <w:r>
        <w:rPr>
          <w:rFonts w:hint="eastAsia" w:ascii="仿宋_GB2312" w:hAnsi="仿宋_GB2312" w:eastAsia="仿宋_GB2312" w:cs="仿宋_GB2312"/>
          <w:color w:val="000000"/>
          <w:sz w:val="32"/>
          <w:szCs w:val="32"/>
          <w:highlight w:val="none"/>
          <w:shd w:val="clear" w:color="auto" w:fill="auto"/>
          <w:lang w:eastAsia="zh-CN"/>
        </w:rPr>
        <w:t>。</w:t>
      </w:r>
    </w:p>
    <w:p w14:paraId="6E59B549">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shd w:val="clear" w:color="auto" w:fill="auto"/>
        </w:rPr>
        <w:t>3.2.1</w:t>
      </w:r>
      <w:r>
        <w:rPr>
          <w:rFonts w:hint="eastAsia" w:ascii="仿宋_GB2312" w:hAnsi="仿宋_GB2312" w:eastAsia="仿宋_GB2312" w:cs="仿宋_GB2312"/>
          <w:color w:val="000000"/>
          <w:sz w:val="32"/>
          <w:szCs w:val="32"/>
          <w:highlight w:val="none"/>
          <w:shd w:val="clear" w:color="auto" w:fill="auto"/>
          <w:lang w:val="en-US" w:eastAsia="zh-CN"/>
        </w:rPr>
        <w:t>4</w:t>
      </w:r>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须在接到</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驻场书面通知的3日内安排人员驻场。若</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在接到</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书面通知的3日内驻场人员未满足合同人数要求，每拖延1天将处罚</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500元/天·人的违约金，该违约金可于支付给</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的任何服务费中扣除，直至</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据此解除合同并要求</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承担相应的</w:t>
      </w:r>
      <w:r>
        <w:rPr>
          <w:rFonts w:hint="eastAsia" w:ascii="仿宋_GB2312" w:hAnsi="仿宋_GB2312" w:eastAsia="仿宋_GB2312" w:cs="仿宋_GB2312"/>
          <w:color w:val="000000"/>
          <w:sz w:val="32"/>
          <w:szCs w:val="32"/>
          <w:highlight w:val="none"/>
          <w:shd w:val="clear" w:color="auto" w:fill="auto"/>
          <w:lang w:eastAsia="zh-CN"/>
        </w:rPr>
        <w:t>违约责任</w:t>
      </w:r>
      <w:r>
        <w:rPr>
          <w:rFonts w:hint="eastAsia" w:ascii="仿宋_GB2312" w:hAnsi="仿宋_GB2312" w:eastAsia="仿宋_GB2312" w:cs="仿宋_GB2312"/>
          <w:color w:val="000000"/>
          <w:sz w:val="32"/>
          <w:szCs w:val="32"/>
          <w:highlight w:val="none"/>
          <w:shd w:val="clear" w:color="auto" w:fill="auto"/>
        </w:rPr>
        <w:t>。同时</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保留法律诉讼的权利</w:t>
      </w:r>
      <w:r>
        <w:rPr>
          <w:rFonts w:hint="eastAsia" w:ascii="仿宋_GB2312" w:hAnsi="仿宋_GB2312" w:eastAsia="仿宋_GB2312" w:cs="仿宋_GB2312"/>
          <w:color w:val="000000"/>
          <w:sz w:val="32"/>
          <w:szCs w:val="32"/>
          <w:highlight w:val="none"/>
          <w:shd w:val="clear" w:color="auto" w:fill="auto"/>
          <w:lang w:eastAsia="zh-CN"/>
        </w:rPr>
        <w:t>。</w:t>
      </w:r>
    </w:p>
    <w:p w14:paraId="1F3CA868">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3.2.1</w:t>
      </w:r>
      <w:r>
        <w:rPr>
          <w:rFonts w:hint="eastAsia" w:ascii="仿宋_GB2312" w:hAnsi="仿宋_GB2312" w:eastAsia="仿宋_GB2312" w:cs="仿宋_GB2312"/>
          <w:color w:val="000000"/>
          <w:sz w:val="32"/>
          <w:szCs w:val="32"/>
          <w:highlight w:val="none"/>
          <w:shd w:val="clear" w:color="auto" w:fill="auto"/>
          <w:lang w:val="en-US" w:eastAsia="zh-CN"/>
        </w:rPr>
        <w:t>5</w:t>
      </w:r>
      <w:r>
        <w:rPr>
          <w:rFonts w:hint="eastAsia" w:ascii="仿宋_GB2312" w:hAnsi="仿宋_GB2312" w:eastAsia="仿宋_GB2312" w:cs="仿宋_GB2312"/>
          <w:color w:val="000000"/>
          <w:sz w:val="32"/>
          <w:szCs w:val="32"/>
          <w:highlight w:val="none"/>
          <w:shd w:val="clear" w:color="auto" w:fill="auto"/>
        </w:rPr>
        <w:t xml:space="preserve"> 咨询人同意放弃《中华人民共和国民法典》第五百八十五条规定的违约金或损失赔偿金调整请求权。</w:t>
      </w:r>
    </w:p>
    <w:p w14:paraId="6FD1E110">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3.2.1</w:t>
      </w:r>
      <w:r>
        <w:rPr>
          <w:rFonts w:hint="eastAsia" w:ascii="仿宋_GB2312" w:hAnsi="仿宋_GB2312" w:eastAsia="仿宋_GB2312" w:cs="仿宋_GB2312"/>
          <w:color w:val="000000"/>
          <w:sz w:val="32"/>
          <w:szCs w:val="32"/>
          <w:highlight w:val="none"/>
          <w:shd w:val="clear" w:color="auto" w:fill="auto"/>
          <w:lang w:val="en-US" w:eastAsia="zh-CN"/>
        </w:rPr>
        <w:t>6</w:t>
      </w:r>
      <w:r>
        <w:rPr>
          <w:rFonts w:hint="eastAsia" w:ascii="仿宋_GB2312" w:hAnsi="仿宋_GB2312" w:eastAsia="仿宋_GB2312" w:cs="仿宋_GB2312"/>
          <w:color w:val="000000"/>
          <w:sz w:val="32"/>
          <w:szCs w:val="32"/>
          <w:highlight w:val="none"/>
          <w:shd w:val="clear" w:color="auto" w:fill="auto"/>
        </w:rPr>
        <w:t xml:space="preserve"> 咨询人在其责任期内如果失职或存在前述行为，同意按以下办法承担因单方责任而造成的经济损失。赔偿金=委托人的全部直接和间接经济损失。</w:t>
      </w:r>
    </w:p>
    <w:p w14:paraId="7E4361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131" w:name="_Toc419045111"/>
      <w:bookmarkStart w:id="132" w:name="_Toc422322535"/>
      <w:r>
        <w:rPr>
          <w:rFonts w:hint="eastAsia" w:ascii="仿宋_GB2312" w:hAnsi="仿宋_GB2312" w:eastAsia="仿宋_GB2312" w:cs="仿宋_GB2312"/>
          <w:color w:val="000000"/>
          <w:sz w:val="32"/>
          <w:szCs w:val="32"/>
          <w:highlight w:val="none"/>
          <w:shd w:val="clear" w:color="auto" w:fill="auto"/>
        </w:rPr>
        <w:t>3.3咨询人的工作依据</w:t>
      </w:r>
      <w:bookmarkEnd w:id="131"/>
      <w:bookmarkEnd w:id="132"/>
    </w:p>
    <w:p w14:paraId="103AA4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经双方协商，本合同约定的造价咨询服务适用的技术标准、规范、定额等工作依据为：</w:t>
      </w:r>
      <w:r>
        <w:rPr>
          <w:rFonts w:hint="eastAsia" w:ascii="仿宋_GB2312" w:hAnsi="仿宋_GB2312" w:eastAsia="仿宋_GB2312" w:cs="仿宋_GB2312"/>
          <w:color w:val="000000"/>
          <w:w w:val="95"/>
          <w:sz w:val="32"/>
          <w:szCs w:val="32"/>
          <w:highlight w:val="none"/>
          <w:u w:val="single"/>
          <w:shd w:val="clear" w:color="auto" w:fill="auto"/>
        </w:rPr>
        <w:t>国家、省、市有关法律、法规及造价文件</w:t>
      </w:r>
      <w:r>
        <w:rPr>
          <w:rFonts w:hint="eastAsia" w:ascii="仿宋_GB2312" w:hAnsi="仿宋_GB2312" w:eastAsia="仿宋_GB2312" w:cs="仿宋_GB2312"/>
          <w:color w:val="000000"/>
          <w:sz w:val="32"/>
          <w:szCs w:val="32"/>
          <w:highlight w:val="none"/>
          <w:shd w:val="clear" w:color="auto" w:fill="auto"/>
        </w:rPr>
        <w:t>。</w:t>
      </w:r>
    </w:p>
    <w:p w14:paraId="3A519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bookmarkStart w:id="133" w:name="_Toc422322536"/>
      <w:bookmarkStart w:id="134" w:name="_Toc419045112"/>
      <w:r>
        <w:rPr>
          <w:rFonts w:hint="eastAsia" w:ascii="仿宋_GB2312" w:hAnsi="仿宋_GB2312" w:eastAsia="仿宋_GB2312" w:cs="仿宋_GB2312"/>
          <w:color w:val="000000"/>
          <w:sz w:val="32"/>
          <w:szCs w:val="32"/>
          <w:highlight w:val="none"/>
          <w:shd w:val="clear" w:color="auto" w:fill="auto"/>
        </w:rPr>
        <w:t>3.4使用委托人房屋及设备的返还</w:t>
      </w:r>
      <w:bookmarkEnd w:id="133"/>
      <w:bookmarkEnd w:id="134"/>
    </w:p>
    <w:p w14:paraId="64FD1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咨询人应在本合同终止后</w:t>
      </w:r>
      <w:r>
        <w:rPr>
          <w:rFonts w:hint="eastAsia" w:ascii="仿宋_GB2312" w:hAnsi="仿宋_GB2312" w:eastAsia="仿宋_GB2312" w:cs="仿宋_GB2312"/>
          <w:color w:val="000000"/>
          <w:sz w:val="32"/>
          <w:szCs w:val="32"/>
          <w:highlight w:val="none"/>
          <w:u w:val="single"/>
          <w:shd w:val="clear" w:color="auto" w:fill="auto"/>
        </w:rPr>
        <w:t>/</w:t>
      </w:r>
      <w:r>
        <w:rPr>
          <w:rFonts w:hint="eastAsia" w:ascii="仿宋_GB2312" w:hAnsi="仿宋_GB2312" w:eastAsia="仿宋_GB2312" w:cs="仿宋_GB2312"/>
          <w:color w:val="000000"/>
          <w:sz w:val="32"/>
          <w:szCs w:val="32"/>
          <w:highlight w:val="none"/>
          <w:shd w:val="clear" w:color="auto" w:fill="auto"/>
        </w:rPr>
        <w:t>日内移交委托人提供的房屋及设备，移交的方式为</w:t>
      </w:r>
      <w:r>
        <w:rPr>
          <w:rFonts w:hint="eastAsia" w:ascii="仿宋_GB2312" w:hAnsi="仿宋_GB2312" w:eastAsia="仿宋_GB2312" w:cs="仿宋_GB2312"/>
          <w:color w:val="000000"/>
          <w:sz w:val="32"/>
          <w:szCs w:val="32"/>
          <w:highlight w:val="none"/>
          <w:u w:val="single"/>
          <w:shd w:val="clear" w:color="auto" w:fill="auto"/>
        </w:rPr>
        <w:tab/>
      </w:r>
      <w:r>
        <w:rPr>
          <w:rFonts w:hint="eastAsia" w:ascii="仿宋_GB2312" w:hAnsi="仿宋_GB2312" w:eastAsia="仿宋_GB2312" w:cs="仿宋_GB2312"/>
          <w:color w:val="000000"/>
          <w:sz w:val="32"/>
          <w:szCs w:val="32"/>
          <w:highlight w:val="none"/>
          <w:u w:val="single"/>
          <w:shd w:val="clear" w:color="auto" w:fill="auto"/>
        </w:rPr>
        <w:t xml:space="preserve">/  </w:t>
      </w:r>
      <w:r>
        <w:rPr>
          <w:rFonts w:hint="eastAsia" w:ascii="仿宋_GB2312" w:hAnsi="仿宋_GB2312" w:eastAsia="仿宋_GB2312" w:cs="仿宋_GB2312"/>
          <w:color w:val="000000"/>
          <w:sz w:val="32"/>
          <w:szCs w:val="32"/>
          <w:highlight w:val="none"/>
          <w:u w:val="single"/>
          <w:shd w:val="clear" w:color="auto" w:fill="auto"/>
        </w:rPr>
        <w:tab/>
      </w:r>
      <w:r>
        <w:rPr>
          <w:rFonts w:hint="eastAsia" w:ascii="仿宋_GB2312" w:hAnsi="仿宋_GB2312" w:eastAsia="仿宋_GB2312" w:cs="仿宋_GB2312"/>
          <w:color w:val="000000"/>
          <w:sz w:val="32"/>
          <w:szCs w:val="32"/>
          <w:highlight w:val="none"/>
          <w:shd w:val="clear" w:color="auto" w:fill="auto"/>
        </w:rPr>
        <w:t>。</w:t>
      </w:r>
    </w:p>
    <w:p w14:paraId="215CA7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bookmarkStart w:id="135" w:name="_Toc419045113"/>
      <w:bookmarkStart w:id="136" w:name="_Toc422322537"/>
      <w:r>
        <w:rPr>
          <w:rFonts w:hint="eastAsia" w:ascii="黑体" w:hAnsi="黑体" w:eastAsia="黑体" w:cs="黑体"/>
          <w:b w:val="0"/>
          <w:bCs w:val="0"/>
          <w:color w:val="000000"/>
          <w:sz w:val="32"/>
          <w:szCs w:val="32"/>
          <w:highlight w:val="none"/>
          <w:shd w:val="clear" w:color="auto" w:fill="auto"/>
        </w:rPr>
        <w:t>4. 违约责任</w:t>
      </w:r>
      <w:bookmarkEnd w:id="135"/>
      <w:bookmarkEnd w:id="136"/>
    </w:p>
    <w:p w14:paraId="398F2C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shd w:val="clear" w:color="auto" w:fill="auto"/>
        </w:rPr>
      </w:pPr>
      <w:bookmarkStart w:id="137" w:name="_Toc422322538"/>
      <w:r>
        <w:rPr>
          <w:rStyle w:val="17"/>
          <w:rFonts w:hint="eastAsia" w:ascii="仿宋_GB2312" w:hAnsi="仿宋_GB2312" w:eastAsia="仿宋_GB2312" w:cs="仿宋_GB2312"/>
          <w:b w:val="0"/>
          <w:bCs w:val="0"/>
          <w:color w:val="000000"/>
          <w:sz w:val="32"/>
          <w:szCs w:val="32"/>
          <w:highlight w:val="none"/>
          <w:shd w:val="clear" w:color="auto" w:fill="auto"/>
        </w:rPr>
        <w:t>4.1委托人的违约责任</w:t>
      </w:r>
      <w:bookmarkEnd w:id="137"/>
    </w:p>
    <w:p w14:paraId="22AA19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4.1.1委托人违约金的计算及支付方法：</w:t>
      </w:r>
      <w:r>
        <w:rPr>
          <w:rFonts w:hint="eastAsia" w:ascii="仿宋_GB2312" w:hAnsi="仿宋_GB2312" w:eastAsia="仿宋_GB2312" w:cs="仿宋_GB2312"/>
          <w:color w:val="000000"/>
          <w:sz w:val="32"/>
          <w:szCs w:val="32"/>
          <w:highlight w:val="none"/>
          <w:u w:val="single"/>
          <w:shd w:val="clear" w:color="auto" w:fill="auto"/>
        </w:rPr>
        <w:t>按本合同约定执行</w:t>
      </w:r>
      <w:r>
        <w:rPr>
          <w:rFonts w:hint="eastAsia" w:ascii="仿宋_GB2312" w:hAnsi="仿宋_GB2312" w:eastAsia="仿宋_GB2312" w:cs="仿宋_GB2312"/>
          <w:color w:val="000000"/>
          <w:sz w:val="32"/>
          <w:szCs w:val="32"/>
          <w:highlight w:val="none"/>
          <w:shd w:val="clear" w:color="auto" w:fill="auto"/>
        </w:rPr>
        <w:t>。</w:t>
      </w:r>
    </w:p>
    <w:p w14:paraId="31A7D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4.1.2委托人赔偿金额按下列方法确定并支付：</w:t>
      </w:r>
      <w:r>
        <w:rPr>
          <w:rFonts w:hint="eastAsia" w:ascii="仿宋_GB2312" w:hAnsi="仿宋_GB2312" w:eastAsia="仿宋_GB2312" w:cs="仿宋_GB2312"/>
          <w:color w:val="000000"/>
          <w:sz w:val="32"/>
          <w:szCs w:val="32"/>
          <w:highlight w:val="none"/>
          <w:u w:val="single"/>
          <w:shd w:val="clear" w:color="auto" w:fill="auto"/>
        </w:rPr>
        <w:t>按本合同约定执行</w:t>
      </w:r>
      <w:r>
        <w:rPr>
          <w:rFonts w:hint="eastAsia" w:ascii="仿宋_GB2312" w:hAnsi="仿宋_GB2312" w:eastAsia="仿宋_GB2312" w:cs="仿宋_GB2312"/>
          <w:color w:val="000000"/>
          <w:sz w:val="32"/>
          <w:szCs w:val="32"/>
          <w:highlight w:val="none"/>
          <w:shd w:val="clear" w:color="auto" w:fill="auto"/>
        </w:rPr>
        <w:t>。</w:t>
      </w:r>
    </w:p>
    <w:p w14:paraId="1F912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4.1.3 委托人逾期付款利息按下列方法计算并支付：</w:t>
      </w:r>
      <w:r>
        <w:rPr>
          <w:rFonts w:hint="eastAsia" w:ascii="仿宋_GB2312" w:hAnsi="仿宋_GB2312" w:eastAsia="仿宋_GB2312" w:cs="仿宋_GB2312"/>
          <w:color w:val="000000"/>
          <w:sz w:val="32"/>
          <w:szCs w:val="32"/>
          <w:highlight w:val="none"/>
          <w:u w:val="single"/>
          <w:shd w:val="clear" w:color="auto" w:fill="auto"/>
        </w:rPr>
        <w:t>每逾期一日按</w:t>
      </w:r>
      <w:r>
        <w:rPr>
          <w:rFonts w:hint="eastAsia" w:ascii="仿宋_GB2312" w:hAnsi="仿宋_GB2312" w:eastAsia="仿宋_GB2312" w:cs="仿宋_GB2312"/>
          <w:color w:val="000000"/>
          <w:sz w:val="32"/>
          <w:szCs w:val="32"/>
          <w:highlight w:val="none"/>
          <w:shd w:val="clear" w:color="auto" w:fill="auto"/>
        </w:rPr>
        <w:t>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u w:val="single"/>
          <w:shd w:val="clear" w:color="auto" w:fill="auto"/>
          <w:lang w:val="en-US" w:eastAsia="zh-CN"/>
        </w:rPr>
        <w:t>的</w:t>
      </w:r>
      <w:r>
        <w:rPr>
          <w:rFonts w:hint="eastAsia" w:ascii="仿宋_GB2312" w:hAnsi="仿宋_GB2312" w:eastAsia="仿宋_GB2312" w:cs="仿宋_GB2312"/>
          <w:color w:val="000000"/>
          <w:sz w:val="32"/>
          <w:szCs w:val="32"/>
          <w:highlight w:val="none"/>
          <w:u w:val="single"/>
          <w:shd w:val="clear" w:color="auto" w:fill="auto"/>
        </w:rPr>
        <w:t>万分之一计算，逾期利息不超过</w:t>
      </w:r>
      <w:r>
        <w:rPr>
          <w:rFonts w:hint="eastAsia" w:ascii="仿宋_GB2312" w:hAnsi="仿宋_GB2312" w:eastAsia="仿宋_GB2312" w:cs="仿宋_GB2312"/>
          <w:color w:val="000000"/>
          <w:sz w:val="32"/>
          <w:szCs w:val="32"/>
          <w:highlight w:val="none"/>
          <w:shd w:val="clear" w:color="auto" w:fill="auto"/>
        </w:rPr>
        <w:t>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签约合同价的</w:t>
      </w:r>
      <w:r>
        <w:rPr>
          <w:rFonts w:hint="eastAsia" w:ascii="仿宋_GB2312" w:hAnsi="仿宋_GB2312" w:eastAsia="仿宋_GB2312" w:cs="仿宋_GB2312"/>
          <w:color w:val="000000"/>
          <w:sz w:val="32"/>
          <w:szCs w:val="32"/>
          <w:highlight w:val="none"/>
          <w:u w:val="single"/>
          <w:shd w:val="clear" w:color="auto" w:fill="auto"/>
        </w:rPr>
        <w:t>5%</w:t>
      </w:r>
      <w:r>
        <w:rPr>
          <w:rFonts w:hint="eastAsia" w:ascii="仿宋_GB2312" w:hAnsi="仿宋_GB2312" w:eastAsia="仿宋_GB2312" w:cs="仿宋_GB2312"/>
          <w:color w:val="000000"/>
          <w:sz w:val="32"/>
          <w:szCs w:val="32"/>
          <w:highlight w:val="none"/>
          <w:shd w:val="clear" w:color="auto" w:fill="auto"/>
        </w:rPr>
        <w:t>。</w:t>
      </w:r>
    </w:p>
    <w:p w14:paraId="676FFE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highlight w:val="none"/>
          <w:shd w:val="clear" w:color="auto" w:fill="auto"/>
        </w:rPr>
      </w:pPr>
      <w:bookmarkStart w:id="138" w:name="_Toc422322539"/>
      <w:bookmarkStart w:id="139" w:name="_Toc419045114"/>
      <w:r>
        <w:rPr>
          <w:rFonts w:hint="eastAsia" w:ascii="仿宋_GB2312" w:hAnsi="仿宋_GB2312" w:eastAsia="仿宋_GB2312" w:cs="仿宋_GB2312"/>
          <w:b w:val="0"/>
          <w:bCs w:val="0"/>
          <w:color w:val="000000"/>
          <w:sz w:val="32"/>
          <w:szCs w:val="32"/>
          <w:highlight w:val="none"/>
          <w:shd w:val="clear" w:color="auto" w:fill="auto"/>
        </w:rPr>
        <w:t>4.2咨询人的违约责任</w:t>
      </w:r>
      <w:bookmarkEnd w:id="138"/>
    </w:p>
    <w:bookmarkEnd w:id="139"/>
    <w:p w14:paraId="5BB111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4.2.1咨询人违约金的计算及支付方法：</w:t>
      </w:r>
    </w:p>
    <w:p w14:paraId="5EF24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（1）咨询人在本合同签订后即行开展工作，由于咨询人自身原因，延期交付委托人下达指令的成果文件每逾期一日应减收本合同对应服务阶段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的2%。</w:t>
      </w:r>
    </w:p>
    <w:p w14:paraId="299572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w:t>
      </w:r>
      <w:r>
        <w:rPr>
          <w:rFonts w:hint="eastAsia" w:ascii="仿宋_GB2312" w:hAnsi="仿宋_GB2312" w:eastAsia="仿宋_GB2312" w:cs="仿宋_GB2312"/>
          <w:color w:val="000000"/>
          <w:sz w:val="32"/>
          <w:szCs w:val="32"/>
          <w:highlight w:val="none"/>
          <w:shd w:val="clear" w:color="auto" w:fill="auto"/>
          <w:lang w:val="en-US" w:eastAsia="zh-CN"/>
        </w:rPr>
        <w:t>在</w:t>
      </w:r>
      <w:r>
        <w:rPr>
          <w:rFonts w:hint="eastAsia" w:ascii="仿宋_GB2312" w:hAnsi="仿宋_GB2312" w:eastAsia="仿宋_GB2312" w:cs="仿宋_GB2312"/>
          <w:color w:val="000000"/>
          <w:sz w:val="32"/>
          <w:szCs w:val="32"/>
          <w:highlight w:val="none"/>
          <w:shd w:val="clear" w:color="auto" w:fill="auto"/>
        </w:rPr>
        <w:t>招标工程量清单及控制价编制</w:t>
      </w:r>
      <w:r>
        <w:rPr>
          <w:rFonts w:hint="eastAsia" w:ascii="仿宋_GB2312" w:hAnsi="仿宋_GB2312" w:eastAsia="仿宋_GB2312" w:cs="仿宋_GB2312"/>
          <w:color w:val="000000"/>
          <w:sz w:val="32"/>
          <w:szCs w:val="32"/>
          <w:highlight w:val="none"/>
          <w:shd w:val="clear" w:color="auto" w:fill="auto"/>
          <w:lang w:val="en-US" w:eastAsia="zh-CN"/>
        </w:rPr>
        <w:t>的服务阶段中，</w:t>
      </w:r>
      <w:r>
        <w:rPr>
          <w:rFonts w:hint="eastAsia" w:ascii="仿宋_GB2312" w:hAnsi="仿宋_GB2312" w:eastAsia="仿宋_GB2312" w:cs="仿宋_GB2312"/>
          <w:color w:val="000000"/>
          <w:sz w:val="32"/>
          <w:szCs w:val="32"/>
          <w:highlight w:val="none"/>
          <w:shd w:val="clear" w:color="auto" w:fill="auto"/>
        </w:rPr>
        <w:t>咨询人出具的正式成果文件经委托人审核后，如有差额的，应按如下方式向委托人支付赔偿金：</w:t>
      </w:r>
    </w:p>
    <w:p w14:paraId="6A627B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审核结果误差率3%&lt;X≤5%，赔偿金为对应服务阶段</w:t>
      </w:r>
      <w:r>
        <w:rPr>
          <w:rFonts w:hint="eastAsia" w:ascii="仿宋_GB2312" w:hAnsi="仿宋_GB2312" w:eastAsia="仿宋_GB2312" w:cs="仿宋_GB2312"/>
          <w:color w:val="000000"/>
          <w:sz w:val="32"/>
          <w:szCs w:val="32"/>
          <w:highlight w:val="none"/>
          <w:shd w:val="clear" w:color="auto" w:fill="auto"/>
          <w:lang w:eastAsia="zh-CN"/>
        </w:rPr>
        <w:t>签约合同价</w:t>
      </w:r>
      <w:r>
        <w:rPr>
          <w:rFonts w:hint="eastAsia" w:ascii="仿宋_GB2312" w:hAnsi="仿宋_GB2312" w:eastAsia="仿宋_GB2312" w:cs="仿宋_GB2312"/>
          <w:color w:val="000000"/>
          <w:sz w:val="32"/>
          <w:szCs w:val="32"/>
          <w:highlight w:val="none"/>
          <w:shd w:val="clear" w:color="auto" w:fill="auto"/>
        </w:rPr>
        <w:t>的20%。</w:t>
      </w:r>
    </w:p>
    <w:p w14:paraId="220ABA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审核结果误差率X&gt;5%，误差率每增加1%，赔偿金相应增加对应服务阶段</w:t>
      </w:r>
      <w:r>
        <w:rPr>
          <w:rFonts w:hint="eastAsia" w:ascii="仿宋_GB2312" w:hAnsi="仿宋_GB2312" w:eastAsia="仿宋_GB2312" w:cs="仿宋_GB2312"/>
          <w:color w:val="000000"/>
          <w:sz w:val="32"/>
          <w:szCs w:val="32"/>
          <w:highlight w:val="none"/>
          <w:shd w:val="clear" w:color="auto" w:fill="auto"/>
          <w:lang w:eastAsia="zh-CN"/>
        </w:rPr>
        <w:t>签约合同价</w:t>
      </w:r>
      <w:r>
        <w:rPr>
          <w:rFonts w:hint="eastAsia" w:ascii="仿宋_GB2312" w:hAnsi="仿宋_GB2312" w:eastAsia="仿宋_GB2312" w:cs="仿宋_GB2312"/>
          <w:color w:val="000000"/>
          <w:sz w:val="32"/>
          <w:szCs w:val="32"/>
          <w:highlight w:val="none"/>
          <w:shd w:val="clear" w:color="auto" w:fill="auto"/>
        </w:rPr>
        <w:t>的20%，以对应服务阶段</w:t>
      </w:r>
      <w:r>
        <w:rPr>
          <w:rFonts w:hint="eastAsia" w:ascii="仿宋_GB2312" w:hAnsi="仿宋_GB2312" w:eastAsia="仿宋_GB2312" w:cs="仿宋_GB2312"/>
          <w:color w:val="000000"/>
          <w:sz w:val="32"/>
          <w:szCs w:val="32"/>
          <w:highlight w:val="none"/>
          <w:shd w:val="clear" w:color="auto" w:fill="auto"/>
          <w:lang w:eastAsia="zh-CN"/>
        </w:rPr>
        <w:t>签约合同价</w:t>
      </w:r>
      <w:r>
        <w:rPr>
          <w:rFonts w:hint="eastAsia" w:ascii="仿宋_GB2312" w:hAnsi="仿宋_GB2312" w:eastAsia="仿宋_GB2312" w:cs="仿宋_GB2312"/>
          <w:color w:val="000000"/>
          <w:sz w:val="32"/>
          <w:szCs w:val="32"/>
          <w:highlight w:val="none"/>
          <w:shd w:val="clear" w:color="auto" w:fill="auto"/>
        </w:rPr>
        <w:t>为限。</w:t>
      </w:r>
    </w:p>
    <w:p w14:paraId="7493D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以上审核结果误差率是指由于造价咨询公司在招标施工图版所对应的工程量计算错误、计价错误、清单缺漏项导致的咨询人成果金额差额占最终咨询人成果总金额（招标控制价正式成果文件总金额）的比例。以上审核结果经双方确认为准。</w:t>
      </w:r>
    </w:p>
    <w:p w14:paraId="7F353F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（3）咨询人的咨询成果经委托人或其委托的其他咨询单位审核，每发现5条错误，委托人有权向咨询人发出1次警告，咨询人须就每5次警告向委托人赔偿对应服务阶段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签约合同价的</w:t>
      </w:r>
      <w:r>
        <w:rPr>
          <w:rFonts w:hint="eastAsia" w:ascii="仿宋_GB2312" w:hAnsi="仿宋_GB2312" w:eastAsia="仿宋_GB2312" w:cs="仿宋_GB2312"/>
          <w:color w:val="000000"/>
          <w:sz w:val="32"/>
          <w:szCs w:val="32"/>
          <w:highlight w:val="none"/>
          <w:shd w:val="clear" w:color="auto" w:fill="auto"/>
        </w:rPr>
        <w:t>5%，此项赔偿额最多不超过对应服务阶段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的20%。</w:t>
      </w:r>
    </w:p>
    <w:p w14:paraId="6882B9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(4)咨询人使用盗版加密锁形成的咨询成果致使委托人无法使用的，委托人有权解除与咨询人的咨询合同，同时咨询人应按</w:t>
      </w:r>
      <w:r>
        <w:rPr>
          <w:rFonts w:hint="eastAsia" w:ascii="仿宋_GB2312" w:hAnsi="仿宋_GB2312" w:eastAsia="仿宋_GB2312" w:cs="仿宋_GB2312"/>
          <w:color w:val="000000"/>
          <w:sz w:val="32"/>
          <w:szCs w:val="32"/>
          <w:highlight w:val="none"/>
          <w:shd w:val="clear" w:color="auto" w:fill="auto"/>
          <w:lang w:val="en-US" w:eastAsia="zh-CN"/>
        </w:rPr>
        <w:t>合同签约总价</w:t>
      </w:r>
      <w:r>
        <w:rPr>
          <w:rFonts w:hint="eastAsia" w:ascii="仿宋_GB2312" w:hAnsi="仿宋_GB2312" w:eastAsia="仿宋_GB2312" w:cs="仿宋_GB2312"/>
          <w:color w:val="000000"/>
          <w:sz w:val="32"/>
          <w:szCs w:val="32"/>
          <w:highlight w:val="none"/>
          <w:shd w:val="clear" w:color="auto" w:fill="auto"/>
        </w:rPr>
        <w:t>的10%向委托人进行赔偿；若因此项原因造成委托人招标工作延迟的，委托人有权取消咨询人3年内参与委托人项目咨询服务工作的资格。</w:t>
      </w:r>
    </w:p>
    <w:p w14:paraId="022A8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u w:val="single"/>
          <w:shd w:val="clear" w:color="auto" w:fill="auto"/>
        </w:rPr>
      </w:pPr>
      <w:r>
        <w:rPr>
          <w:rFonts w:hint="eastAsia" w:ascii="仿宋_GB2312" w:hAnsi="仿宋_GB2312" w:eastAsia="仿宋_GB2312" w:cs="仿宋_GB2312"/>
          <w:color w:val="000000"/>
          <w:sz w:val="32"/>
          <w:szCs w:val="32"/>
          <w:highlight w:val="none"/>
          <w:u w:val="single"/>
          <w:shd w:val="clear" w:color="auto" w:fill="auto"/>
        </w:rPr>
        <w:t>（5）因咨询人原因造成咨询成果挂网招标阶段需要委托人发布澄清才能招标的，咨询人须按</w:t>
      </w:r>
      <w:r>
        <w:rPr>
          <w:rFonts w:hint="eastAsia" w:ascii="仿宋_GB2312" w:hAnsi="仿宋_GB2312" w:eastAsia="仿宋_GB2312" w:cs="仿宋_GB2312"/>
          <w:color w:val="000000"/>
          <w:sz w:val="32"/>
          <w:szCs w:val="32"/>
          <w:highlight w:val="none"/>
          <w:shd w:val="clear" w:color="auto" w:fill="auto"/>
        </w:rPr>
        <w:t>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u w:val="single"/>
          <w:shd w:val="clear" w:color="auto" w:fill="auto"/>
        </w:rPr>
        <w:t>的10%向委托人进行赔偿；若因澄清造成开标日期延迟的，咨询人须按</w:t>
      </w:r>
      <w:r>
        <w:rPr>
          <w:rFonts w:hint="eastAsia" w:ascii="仿宋_GB2312" w:hAnsi="仿宋_GB2312" w:eastAsia="仿宋_GB2312" w:cs="仿宋_GB2312"/>
          <w:color w:val="000000"/>
          <w:sz w:val="32"/>
          <w:szCs w:val="32"/>
          <w:highlight w:val="none"/>
          <w:shd w:val="clear" w:color="auto" w:fill="auto"/>
        </w:rPr>
        <w:t>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u w:val="single"/>
          <w:shd w:val="clear" w:color="auto" w:fill="auto"/>
        </w:rPr>
        <w:t>的15%向委托人进行赔偿，且开标日期每延迟1天，咨询人还应按</w:t>
      </w:r>
      <w:r>
        <w:rPr>
          <w:rFonts w:hint="eastAsia" w:ascii="仿宋_GB2312" w:hAnsi="仿宋_GB2312" w:eastAsia="仿宋_GB2312" w:cs="仿宋_GB2312"/>
          <w:color w:val="000000"/>
          <w:sz w:val="32"/>
          <w:szCs w:val="32"/>
          <w:highlight w:val="none"/>
          <w:shd w:val="clear" w:color="auto" w:fill="auto"/>
        </w:rPr>
        <w:t>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u w:val="single"/>
          <w:shd w:val="clear" w:color="auto" w:fill="auto"/>
          <w:lang w:val="en-US" w:eastAsia="zh-CN"/>
        </w:rPr>
        <w:t>的</w:t>
      </w:r>
      <w:r>
        <w:rPr>
          <w:rFonts w:hint="eastAsia" w:ascii="仿宋_GB2312" w:hAnsi="仿宋_GB2312" w:eastAsia="仿宋_GB2312" w:cs="仿宋_GB2312"/>
          <w:color w:val="000000"/>
          <w:sz w:val="32"/>
          <w:szCs w:val="32"/>
          <w:highlight w:val="none"/>
          <w:u w:val="single"/>
          <w:shd w:val="clear" w:color="auto" w:fill="auto"/>
        </w:rPr>
        <w:t>1%向委托人支付违约金。</w:t>
      </w:r>
    </w:p>
    <w:p w14:paraId="1D183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（6）咨询人如有其他违约行为的，按对应服务阶段</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的10%向委托人支付违约金，并在确认发生之日起暂停咨询人参加委托人项目投标3个月。</w:t>
      </w:r>
    </w:p>
    <w:p w14:paraId="7B72C2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如咨询人发生违法违纪行为则依法依规处理，移交司法机关，委托人有权终止合同并停止支付全部未支付的咨询费用，同时将其报相关部门列入诚信黑名单。</w:t>
      </w:r>
    </w:p>
    <w:p w14:paraId="762B7F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4.2.2 咨询人赔偿金额按下列方法确定并支付：</w:t>
      </w:r>
    </w:p>
    <w:p w14:paraId="203A46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（1）咨询人违约后，委托人向咨询人下发书面违约赔偿通知，违约赔偿金优先从当季度咨询费扣减，当季度咨询费不足以抵扣违约赔偿金的，咨询人需向委托人支付。</w:t>
      </w:r>
    </w:p>
    <w:p w14:paraId="79DF10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（2）损失赔偿额应当相当于由此给委托人造成的直接及间接损失。</w:t>
      </w:r>
    </w:p>
    <w:p w14:paraId="3AF49A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lang w:bidi="zh-CN"/>
        </w:rPr>
      </w:pPr>
      <w:r>
        <w:rPr>
          <w:rFonts w:hint="eastAsia" w:ascii="仿宋_GB2312" w:hAnsi="仿宋_GB2312" w:eastAsia="仿宋_GB2312" w:cs="仿宋_GB2312"/>
          <w:color w:val="000000"/>
          <w:sz w:val="32"/>
          <w:szCs w:val="32"/>
          <w:highlight w:val="none"/>
          <w:shd w:val="clear" w:color="auto" w:fill="auto"/>
        </w:rPr>
        <w:t>4.2.3 咨询人的其他违约行为：按通用条款执行</w:t>
      </w:r>
      <w:bookmarkStart w:id="140" w:name="_Toc419045119"/>
      <w:bookmarkStart w:id="141" w:name="_Toc422322544"/>
    </w:p>
    <w:p w14:paraId="5ACFF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r>
        <w:rPr>
          <w:rFonts w:hint="eastAsia" w:ascii="黑体" w:hAnsi="黑体" w:eastAsia="黑体" w:cs="黑体"/>
          <w:b w:val="0"/>
          <w:bCs w:val="0"/>
          <w:color w:val="000000"/>
          <w:sz w:val="32"/>
          <w:szCs w:val="32"/>
          <w:highlight w:val="none"/>
          <w:shd w:val="clear" w:color="auto" w:fill="auto"/>
          <w:lang w:val="en-US" w:eastAsia="zh-CN"/>
        </w:rPr>
        <w:t>5</w:t>
      </w:r>
      <w:r>
        <w:rPr>
          <w:rFonts w:hint="eastAsia" w:ascii="黑体" w:hAnsi="黑体" w:eastAsia="黑体" w:cs="黑体"/>
          <w:b w:val="0"/>
          <w:bCs w:val="0"/>
          <w:color w:val="000000"/>
          <w:sz w:val="32"/>
          <w:szCs w:val="32"/>
          <w:highlight w:val="none"/>
          <w:shd w:val="clear" w:color="auto" w:fill="auto"/>
        </w:rPr>
        <w:t>.合同变更、解除与终止</w:t>
      </w:r>
      <w:bookmarkEnd w:id="140"/>
      <w:bookmarkEnd w:id="141"/>
    </w:p>
    <w:p w14:paraId="6D97C9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bookmarkStart w:id="142" w:name="_Toc422322547"/>
      <w:bookmarkStart w:id="143" w:name="_Toc419045121"/>
      <w:r>
        <w:rPr>
          <w:rStyle w:val="17"/>
          <w:rFonts w:hint="eastAsia" w:ascii="仿宋_GB2312" w:hAnsi="仿宋_GB2312" w:eastAsia="仿宋_GB2312" w:cs="仿宋_GB2312"/>
          <w:b w:val="0"/>
          <w:color w:val="000000"/>
          <w:sz w:val="32"/>
          <w:szCs w:val="32"/>
          <w:highlight w:val="none"/>
          <w:shd w:val="clear" w:color="auto" w:fill="auto"/>
        </w:rPr>
        <w:t>1.甲、乙双方协商一致，可以对合同条款进行变更。</w:t>
      </w:r>
    </w:p>
    <w:p w14:paraId="73081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2.未经合同双方书面同意，任何一方不得提前终止本合同。</w:t>
      </w:r>
    </w:p>
    <w:p w14:paraId="185B5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3.甲、乙双方协商一致，可以解除合同。任何一方需提前解除本合同的，应提前[7]日通知对方。</w:t>
      </w:r>
    </w:p>
    <w:p w14:paraId="02EFAB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4.有以下情形之一时，任何一方有权单方面解除合同，并要求对方承担违约责任：</w:t>
      </w:r>
    </w:p>
    <w:p w14:paraId="3F95C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（1）因不可抗力致使不能实现合同目的；</w:t>
      </w:r>
    </w:p>
    <w:p w14:paraId="6F78E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（2）一方明确表示或以自己的行为表明不履行主要义务；</w:t>
      </w:r>
    </w:p>
    <w:p w14:paraId="0BF925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（3）一方迟延履行主要义务，经催告后在合理期限内仍未履行；</w:t>
      </w:r>
    </w:p>
    <w:p w14:paraId="701610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（4）其他根据法律规定或合同约定可以解除合同的情形；</w:t>
      </w:r>
    </w:p>
    <w:p w14:paraId="228A4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r>
        <w:rPr>
          <w:rStyle w:val="17"/>
          <w:rFonts w:hint="eastAsia" w:ascii="仿宋_GB2312" w:hAnsi="仿宋_GB2312" w:eastAsia="仿宋_GB2312" w:cs="仿宋_GB2312"/>
          <w:b w:val="0"/>
          <w:color w:val="000000"/>
          <w:sz w:val="32"/>
          <w:szCs w:val="32"/>
          <w:highlight w:val="none"/>
          <w:shd w:val="clear" w:color="auto" w:fill="auto"/>
        </w:rPr>
        <w:t>5.合同的解除不影响其他任何合同延伸义务的继续履行。</w:t>
      </w:r>
    </w:p>
    <w:p w14:paraId="7E520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lang w:val="en-US" w:eastAsia="zh-CN"/>
        </w:rPr>
      </w:pPr>
      <w:r>
        <w:rPr>
          <w:rFonts w:hint="eastAsia" w:ascii="黑体" w:hAnsi="黑体" w:eastAsia="黑体" w:cs="黑体"/>
          <w:b w:val="0"/>
          <w:bCs w:val="0"/>
          <w:color w:val="000000"/>
          <w:sz w:val="32"/>
          <w:szCs w:val="32"/>
          <w:highlight w:val="none"/>
          <w:shd w:val="clear" w:color="auto" w:fill="auto"/>
          <w:lang w:val="en-US" w:eastAsia="zh-CN"/>
        </w:rPr>
        <w:t>6.争议解决</w:t>
      </w:r>
      <w:bookmarkEnd w:id="142"/>
      <w:bookmarkEnd w:id="143"/>
    </w:p>
    <w:p w14:paraId="2D27A273">
      <w:pPr>
        <w:pageBreakBefore w:val="0"/>
        <w:widowControl w:val="0"/>
        <w:kinsoku/>
        <w:wordWrap/>
        <w:overflowPunct/>
        <w:topLinePunct w:val="0"/>
        <w:autoSpaceDE/>
        <w:autoSpaceDN/>
        <w:bidi w:val="0"/>
        <w:adjustRightInd/>
        <w:snapToGrid/>
        <w:spacing w:line="560" w:lineRule="exact"/>
        <w:ind w:firstLine="562"/>
        <w:textAlignment w:val="auto"/>
        <w:rPr>
          <w:rStyle w:val="16"/>
          <w:rFonts w:hint="eastAsia" w:ascii="仿宋_GB2312" w:hAnsi="仿宋_GB2312" w:eastAsia="仿宋_GB2312" w:cs="仿宋_GB2312"/>
          <w:b w:val="0"/>
          <w:bCs w:val="0"/>
          <w:color w:val="000000"/>
          <w:sz w:val="32"/>
          <w:szCs w:val="32"/>
          <w:highlight w:val="none"/>
          <w:shd w:val="clear" w:color="auto" w:fill="auto"/>
        </w:rPr>
      </w:pPr>
      <w:bookmarkStart w:id="144" w:name="_Toc419045122"/>
      <w:bookmarkStart w:id="145" w:name="_Toc422322548"/>
      <w:bookmarkStart w:id="146" w:name="_Toc422322550"/>
      <w:bookmarkStart w:id="147" w:name="_Toc419045123"/>
      <w:r>
        <w:rPr>
          <w:rStyle w:val="16"/>
          <w:rFonts w:hint="eastAsia" w:ascii="仿宋_GB2312" w:hAnsi="仿宋_GB2312" w:eastAsia="仿宋_GB2312" w:cs="仿宋_GB2312"/>
          <w:b w:val="0"/>
          <w:bCs w:val="0"/>
          <w:color w:val="000000"/>
          <w:sz w:val="32"/>
          <w:szCs w:val="32"/>
          <w:highlight w:val="none"/>
          <w:shd w:val="clear" w:color="auto" w:fill="auto"/>
          <w:lang w:val="en-US" w:eastAsia="zh-CN"/>
        </w:rPr>
        <w:t>6</w:t>
      </w:r>
      <w:r>
        <w:rPr>
          <w:rStyle w:val="16"/>
          <w:rFonts w:hint="eastAsia" w:ascii="仿宋_GB2312" w:hAnsi="仿宋_GB2312" w:eastAsia="仿宋_GB2312" w:cs="仿宋_GB2312"/>
          <w:b w:val="0"/>
          <w:bCs w:val="0"/>
          <w:color w:val="000000"/>
          <w:sz w:val="32"/>
          <w:szCs w:val="32"/>
          <w:highlight w:val="none"/>
          <w:shd w:val="clear" w:color="auto" w:fill="auto"/>
        </w:rPr>
        <w:t>.</w:t>
      </w:r>
      <w:r>
        <w:rPr>
          <w:rStyle w:val="16"/>
          <w:rFonts w:hint="eastAsia" w:ascii="仿宋_GB2312" w:hAnsi="仿宋_GB2312" w:eastAsia="仿宋_GB2312" w:cs="仿宋_GB2312"/>
          <w:b w:val="0"/>
          <w:bCs w:val="0"/>
          <w:color w:val="000000"/>
          <w:sz w:val="32"/>
          <w:szCs w:val="32"/>
          <w:highlight w:val="none"/>
          <w:shd w:val="clear" w:color="auto" w:fill="auto"/>
          <w:lang w:val="en-US" w:eastAsia="zh-CN"/>
        </w:rPr>
        <w:t>1</w:t>
      </w:r>
      <w:r>
        <w:rPr>
          <w:rStyle w:val="16"/>
          <w:rFonts w:hint="eastAsia" w:ascii="仿宋_GB2312" w:hAnsi="仿宋_GB2312" w:eastAsia="仿宋_GB2312" w:cs="仿宋_GB2312"/>
          <w:b w:val="0"/>
          <w:bCs w:val="0"/>
          <w:color w:val="000000"/>
          <w:sz w:val="32"/>
          <w:szCs w:val="32"/>
          <w:highlight w:val="none"/>
          <w:shd w:val="clear" w:color="auto" w:fill="auto"/>
        </w:rPr>
        <w:t>调解</w:t>
      </w:r>
      <w:bookmarkEnd w:id="144"/>
      <w:bookmarkEnd w:id="145"/>
    </w:p>
    <w:p w14:paraId="5B0628BF">
      <w:pPr>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如果双方不能在</w:t>
      </w:r>
      <w:permStart w:id="92" w:edGrp="everyone"/>
      <w:r>
        <w:rPr>
          <w:rFonts w:hint="eastAsia" w:ascii="仿宋_GB2312" w:hAnsi="仿宋_GB2312" w:eastAsia="仿宋_GB2312" w:cs="仿宋_GB2312"/>
          <w:color w:val="000000"/>
          <w:sz w:val="32"/>
          <w:szCs w:val="32"/>
          <w:highlight w:val="none"/>
          <w:u w:val="single"/>
          <w:shd w:val="clear" w:color="auto" w:fill="auto"/>
          <w:lang w:val="en-US" w:eastAsia="zh-CN"/>
        </w:rPr>
        <w:t xml:space="preserve">  14   </w:t>
      </w:r>
      <w:permEnd w:id="92"/>
      <w:r>
        <w:rPr>
          <w:rFonts w:hint="eastAsia" w:ascii="仿宋_GB2312" w:hAnsi="仿宋_GB2312" w:eastAsia="仿宋_GB2312" w:cs="仿宋_GB2312"/>
          <w:color w:val="000000"/>
          <w:sz w:val="32"/>
          <w:szCs w:val="32"/>
          <w:highlight w:val="none"/>
          <w:shd w:val="clear" w:color="auto" w:fill="auto"/>
        </w:rPr>
        <w:t xml:space="preserve">日内解决本合同争议，可以将其提交 </w:t>
      </w:r>
      <w:permStart w:id="93" w:edGrp="everyone"/>
      <w:r>
        <w:rPr>
          <w:rFonts w:hint="eastAsia" w:ascii="仿宋_GB2312" w:hAnsi="仿宋_GB2312" w:eastAsia="仿宋_GB2312" w:cs="仿宋_GB2312"/>
          <w:color w:val="000000"/>
          <w:sz w:val="32"/>
          <w:szCs w:val="32"/>
          <w:highlight w:val="none"/>
          <w:u w:val="single"/>
          <w:shd w:val="clear" w:color="auto" w:fill="auto"/>
        </w:rPr>
        <w:t xml:space="preserve"> 有关主管部门   </w:t>
      </w:r>
      <w:permEnd w:id="93"/>
      <w:r>
        <w:rPr>
          <w:rFonts w:hint="eastAsia" w:ascii="仿宋_GB2312" w:hAnsi="仿宋_GB2312" w:eastAsia="仿宋_GB2312" w:cs="仿宋_GB2312"/>
          <w:color w:val="000000"/>
          <w:sz w:val="32"/>
          <w:szCs w:val="32"/>
          <w:highlight w:val="none"/>
          <w:shd w:val="clear" w:color="auto" w:fill="auto"/>
        </w:rPr>
        <w:t>进行调解。</w:t>
      </w:r>
      <w:bookmarkStart w:id="148" w:name="_Toc422322549"/>
    </w:p>
    <w:p w14:paraId="50A8DEF2">
      <w:pPr>
        <w:pageBreakBefore w:val="0"/>
        <w:widowControl w:val="0"/>
        <w:kinsoku/>
        <w:wordWrap/>
        <w:overflowPunct/>
        <w:topLinePunct w:val="0"/>
        <w:autoSpaceDE/>
        <w:autoSpaceDN/>
        <w:bidi w:val="0"/>
        <w:adjustRightInd/>
        <w:snapToGrid/>
        <w:spacing w:line="560" w:lineRule="exact"/>
        <w:ind w:firstLine="562"/>
        <w:textAlignment w:val="auto"/>
        <w:rPr>
          <w:rStyle w:val="16"/>
          <w:rFonts w:hint="eastAsia" w:ascii="仿宋_GB2312" w:hAnsi="仿宋_GB2312" w:eastAsia="仿宋_GB2312" w:cs="仿宋_GB2312"/>
          <w:b w:val="0"/>
          <w:bCs w:val="0"/>
          <w:color w:val="000000"/>
          <w:sz w:val="32"/>
          <w:szCs w:val="32"/>
          <w:highlight w:val="none"/>
          <w:shd w:val="clear" w:color="auto" w:fill="auto"/>
        </w:rPr>
      </w:pPr>
      <w:r>
        <w:rPr>
          <w:rStyle w:val="16"/>
          <w:rFonts w:hint="eastAsia" w:ascii="仿宋_GB2312" w:hAnsi="仿宋_GB2312" w:eastAsia="仿宋_GB2312" w:cs="仿宋_GB2312"/>
          <w:b w:val="0"/>
          <w:bCs w:val="0"/>
          <w:color w:val="000000"/>
          <w:sz w:val="32"/>
          <w:szCs w:val="32"/>
          <w:highlight w:val="none"/>
          <w:shd w:val="clear" w:color="auto" w:fill="auto"/>
          <w:lang w:val="en-US" w:eastAsia="zh-CN"/>
        </w:rPr>
        <w:t>6</w:t>
      </w:r>
      <w:r>
        <w:rPr>
          <w:rStyle w:val="16"/>
          <w:rFonts w:hint="eastAsia" w:ascii="仿宋_GB2312" w:hAnsi="仿宋_GB2312" w:eastAsia="仿宋_GB2312" w:cs="仿宋_GB2312"/>
          <w:b w:val="0"/>
          <w:bCs w:val="0"/>
          <w:color w:val="000000"/>
          <w:sz w:val="32"/>
          <w:szCs w:val="32"/>
          <w:highlight w:val="none"/>
          <w:shd w:val="clear" w:color="auto" w:fill="auto"/>
        </w:rPr>
        <w:t>.</w:t>
      </w:r>
      <w:r>
        <w:rPr>
          <w:rStyle w:val="16"/>
          <w:rFonts w:hint="eastAsia" w:ascii="仿宋_GB2312" w:hAnsi="仿宋_GB2312" w:eastAsia="仿宋_GB2312" w:cs="仿宋_GB2312"/>
          <w:b w:val="0"/>
          <w:bCs w:val="0"/>
          <w:color w:val="000000"/>
          <w:sz w:val="32"/>
          <w:szCs w:val="32"/>
          <w:highlight w:val="none"/>
          <w:shd w:val="clear" w:color="auto" w:fill="auto"/>
          <w:lang w:val="en-US" w:eastAsia="zh-CN"/>
        </w:rPr>
        <w:t>2</w:t>
      </w:r>
      <w:r>
        <w:rPr>
          <w:rStyle w:val="16"/>
          <w:rFonts w:hint="eastAsia" w:ascii="仿宋_GB2312" w:hAnsi="仿宋_GB2312" w:eastAsia="仿宋_GB2312" w:cs="仿宋_GB2312"/>
          <w:b w:val="0"/>
          <w:bCs w:val="0"/>
          <w:color w:val="000000"/>
          <w:sz w:val="32"/>
          <w:szCs w:val="32"/>
          <w:highlight w:val="none"/>
          <w:shd w:val="clear" w:color="auto" w:fill="auto"/>
        </w:rPr>
        <w:t>仲裁或诉讼</w:t>
      </w:r>
      <w:bookmarkEnd w:id="148"/>
    </w:p>
    <w:p w14:paraId="1953C89B">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凡因本合同引起的或与本合同有关的任何争议，双方均应友好协商；协商不成的，通过下列第</w:t>
      </w:r>
      <w:permStart w:id="94" w:edGrp="everyone"/>
      <w:r>
        <w:rPr>
          <w:rFonts w:hint="eastAsia" w:ascii="仿宋_GB2312" w:hAnsi="仿宋_GB2312" w:eastAsia="仿宋_GB2312" w:cs="仿宋_GB2312"/>
          <w:sz w:val="32"/>
          <w:szCs w:val="32"/>
          <w:highlight w:val="none"/>
          <w:shd w:val="clear" w:color="auto" w:fill="auto"/>
          <w:lang w:val="en-US" w:eastAsia="zh-CN"/>
        </w:rPr>
        <w:t xml:space="preserve">  ③  </w:t>
      </w:r>
      <w:permEnd w:id="94"/>
      <w:r>
        <w:rPr>
          <w:rFonts w:hint="eastAsia" w:ascii="仿宋_GB2312" w:hAnsi="仿宋_GB2312" w:eastAsia="仿宋_GB2312" w:cs="仿宋_GB2312"/>
          <w:sz w:val="32"/>
          <w:szCs w:val="32"/>
          <w:highlight w:val="none"/>
          <w:shd w:val="clear" w:color="auto" w:fill="auto"/>
        </w:rPr>
        <w:t>种方式解决：</w:t>
      </w:r>
    </w:p>
    <w:p w14:paraId="3E439389">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①</w:t>
      </w:r>
      <w:r>
        <w:rPr>
          <w:rFonts w:hint="eastAsia" w:ascii="仿宋_GB2312" w:hAnsi="仿宋_GB2312" w:eastAsia="仿宋_GB2312" w:cs="仿宋_GB2312"/>
          <w:sz w:val="32"/>
          <w:szCs w:val="32"/>
          <w:highlight w:val="none"/>
          <w:shd w:val="clear" w:color="auto" w:fill="auto"/>
        </w:rPr>
        <w:t>临时仲裁</w:t>
      </w:r>
    </w:p>
    <w:p w14:paraId="417FD592">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通过仲裁方式解决，仲裁地位于海南自由贸易港，适用海南省仲裁协会《海南自由贸易港临时仲裁规则》。特别约定：</w:t>
      </w:r>
    </w:p>
    <w:p w14:paraId="603123F8">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1.1指定机构为【海南省仲裁协会】</w:t>
      </w:r>
    </w:p>
    <w:p w14:paraId="583DCA71">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1.2仲裁员人数为</w:t>
      </w:r>
      <w:permStart w:id="95" w:edGrp="everyone"/>
      <w:r>
        <w:rPr>
          <w:rFonts w:hint="eastAsia" w:ascii="仿宋_GB2312" w:hAnsi="仿宋_GB2312" w:eastAsia="仿宋_GB2312" w:cs="仿宋_GB2312"/>
          <w:sz w:val="32"/>
          <w:szCs w:val="32"/>
          <w:highlight w:val="none"/>
          <w:shd w:val="clear" w:color="auto" w:fill="auto"/>
        </w:rPr>
        <w:t>【】</w:t>
      </w:r>
      <w:permEnd w:id="95"/>
    </w:p>
    <w:p w14:paraId="558C39BA">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1.3仲裁语言为</w:t>
      </w:r>
      <w:permStart w:id="96" w:edGrp="everyone"/>
      <w:r>
        <w:rPr>
          <w:rFonts w:hint="eastAsia" w:ascii="仿宋_GB2312" w:hAnsi="仿宋_GB2312" w:eastAsia="仿宋_GB2312" w:cs="仿宋_GB2312"/>
          <w:sz w:val="32"/>
          <w:szCs w:val="32"/>
          <w:highlight w:val="none"/>
          <w:shd w:val="clear" w:color="auto" w:fill="auto"/>
        </w:rPr>
        <w:t>【】</w:t>
      </w:r>
      <w:permEnd w:id="96"/>
    </w:p>
    <w:p w14:paraId="7F8F64E4">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1.4合同所适用实体法为</w:t>
      </w:r>
      <w:permStart w:id="97" w:edGrp="everyone"/>
      <w:r>
        <w:rPr>
          <w:rFonts w:hint="eastAsia" w:ascii="仿宋_GB2312" w:hAnsi="仿宋_GB2312" w:eastAsia="仿宋_GB2312" w:cs="仿宋_GB2312"/>
          <w:sz w:val="32"/>
          <w:szCs w:val="32"/>
          <w:highlight w:val="none"/>
          <w:shd w:val="clear" w:color="auto" w:fill="auto"/>
        </w:rPr>
        <w:t>【】</w:t>
      </w:r>
      <w:permEnd w:id="97"/>
    </w:p>
    <w:p w14:paraId="3B1E743E">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（注：当事人可就以上事项作特别约定。仲裁裁决是终局的，对双方均有约束力。）</w:t>
      </w:r>
    </w:p>
    <w:p w14:paraId="1A5E3A47">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②</w:t>
      </w:r>
      <w:r>
        <w:rPr>
          <w:rFonts w:hint="eastAsia" w:ascii="仿宋_GB2312" w:hAnsi="仿宋_GB2312" w:eastAsia="仿宋_GB2312" w:cs="仿宋_GB2312"/>
          <w:sz w:val="32"/>
          <w:szCs w:val="32"/>
          <w:highlight w:val="none"/>
          <w:shd w:val="clear" w:color="auto" w:fill="auto"/>
        </w:rPr>
        <w:t>机构仲裁</w:t>
      </w:r>
    </w:p>
    <w:p w14:paraId="2BEE81C6">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提交海南国际仲裁院，按照该机构现行有效仲裁规则进行仲裁。仲裁裁决是终局的，对双方均有约束力。</w:t>
      </w:r>
    </w:p>
    <w:p w14:paraId="77F54372">
      <w:pPr>
        <w:spacing w:line="560" w:lineRule="exact"/>
        <w:ind w:firstLine="640" w:firstLineChars="200"/>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③</w:t>
      </w:r>
      <w:r>
        <w:rPr>
          <w:rFonts w:hint="eastAsia" w:ascii="仿宋_GB2312" w:hAnsi="仿宋_GB2312" w:eastAsia="仿宋_GB2312" w:cs="仿宋_GB2312"/>
          <w:sz w:val="32"/>
          <w:szCs w:val="32"/>
          <w:highlight w:val="none"/>
          <w:shd w:val="clear" w:color="auto" w:fill="auto"/>
        </w:rPr>
        <w:t>向</w:t>
      </w:r>
      <w:permStart w:id="98" w:edGrp="everyone"/>
      <w:r>
        <w:rPr>
          <w:rFonts w:hint="eastAsia" w:ascii="仿宋_GB2312" w:hAnsi="仿宋_GB2312" w:eastAsia="仿宋_GB2312" w:cs="仿宋_GB2312"/>
          <w:sz w:val="32"/>
          <w:szCs w:val="32"/>
          <w:highlight w:val="none"/>
          <w:u w:val="single"/>
          <w:shd w:val="clear" w:color="auto" w:fill="auto"/>
          <w:lang w:val="en-US" w:eastAsia="zh-CN"/>
        </w:rPr>
        <w:t>项目所在地</w:t>
      </w:r>
      <w:permEnd w:id="98"/>
      <w:r>
        <w:rPr>
          <w:rFonts w:hint="eastAsia" w:ascii="仿宋_GB2312" w:hAnsi="仿宋_GB2312" w:eastAsia="仿宋_GB2312" w:cs="仿宋_GB2312"/>
          <w:sz w:val="32"/>
          <w:szCs w:val="32"/>
          <w:highlight w:val="none"/>
          <w:shd w:val="clear" w:color="auto" w:fill="auto"/>
        </w:rPr>
        <w:t>所在地有管辖权的人民法院提起诉讼。</w:t>
      </w:r>
    </w:p>
    <w:p w14:paraId="1F675DE5">
      <w:pPr>
        <w:spacing w:line="560" w:lineRule="exact"/>
        <w:ind w:firstLine="640" w:firstLineChars="200"/>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合同有关争议解决的条款独立存在，合同的变更、解除、终止、无效或者被撤销均不影响其效力。在诉讼期间，除正在进行诉讼的部分外，合同其它部分应继续执行。</w:t>
      </w:r>
    </w:p>
    <w:p w14:paraId="229DC7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6"/>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lang w:val="en-US" w:eastAsia="zh-CN"/>
        </w:rPr>
        <w:t>7</w:t>
      </w:r>
      <w:r>
        <w:rPr>
          <w:rStyle w:val="16"/>
          <w:rFonts w:hint="eastAsia" w:ascii="黑体" w:hAnsi="黑体" w:eastAsia="黑体" w:cs="黑体"/>
          <w:b w:val="0"/>
          <w:bCs w:val="0"/>
          <w:color w:val="000000"/>
          <w:sz w:val="32"/>
          <w:szCs w:val="32"/>
          <w:highlight w:val="none"/>
          <w:shd w:val="clear" w:color="auto" w:fill="auto"/>
        </w:rPr>
        <w:t>. 其他</w:t>
      </w:r>
      <w:bookmarkEnd w:id="146"/>
      <w:bookmarkEnd w:id="147"/>
      <w:bookmarkStart w:id="149" w:name="_Toc422322551"/>
    </w:p>
    <w:p w14:paraId="16165D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8"/>
          <w:sz w:val="32"/>
          <w:szCs w:val="32"/>
          <w:highlight w:val="none"/>
          <w:shd w:val="clear" w:color="auto" w:fill="auto"/>
        </w:rPr>
      </w:pPr>
      <w:r>
        <w:rPr>
          <w:rFonts w:hint="eastAsia" w:ascii="仿宋_GB2312" w:hAnsi="仿宋_GB2312" w:eastAsia="仿宋_GB2312" w:cs="仿宋_GB2312"/>
          <w:b w:val="0"/>
          <w:bCs w:val="0"/>
          <w:color w:val="000000"/>
          <w:sz w:val="32"/>
          <w:szCs w:val="32"/>
          <w:highlight w:val="none"/>
          <w:shd w:val="clear" w:color="auto" w:fill="auto"/>
          <w:lang w:val="en-US" w:eastAsia="zh-CN"/>
        </w:rPr>
        <w:t>7</w:t>
      </w:r>
      <w:r>
        <w:rPr>
          <w:rFonts w:hint="eastAsia" w:ascii="仿宋_GB2312" w:hAnsi="仿宋_GB2312" w:eastAsia="仿宋_GB2312" w:cs="仿宋_GB2312"/>
          <w:b w:val="0"/>
          <w:bCs w:val="0"/>
          <w:color w:val="000000"/>
          <w:sz w:val="32"/>
          <w:szCs w:val="32"/>
          <w:highlight w:val="none"/>
          <w:shd w:val="clear" w:color="auto" w:fill="auto"/>
        </w:rPr>
        <w:t>.1考察及相关费用</w:t>
      </w:r>
      <w:bookmarkEnd w:id="149"/>
    </w:p>
    <w:p w14:paraId="73807A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咨询人经委托人同意进行考察发生的费用由</w:t>
      </w:r>
      <w:r>
        <w:rPr>
          <w:rFonts w:hint="eastAsia" w:ascii="仿宋_GB2312" w:hAnsi="仿宋_GB2312" w:eastAsia="仿宋_GB2312" w:cs="仿宋_GB2312"/>
          <w:color w:val="000000"/>
          <w:sz w:val="32"/>
          <w:szCs w:val="32"/>
          <w:highlight w:val="none"/>
          <w:u w:val="single"/>
          <w:shd w:val="clear" w:color="auto" w:fill="auto"/>
        </w:rPr>
        <w:t>/</w:t>
      </w:r>
      <w:r>
        <w:rPr>
          <w:rFonts w:hint="eastAsia" w:ascii="仿宋_GB2312" w:hAnsi="仿宋_GB2312" w:eastAsia="仿宋_GB2312" w:cs="仿宋_GB2312"/>
          <w:color w:val="000000"/>
          <w:sz w:val="32"/>
          <w:szCs w:val="32"/>
          <w:highlight w:val="none"/>
          <w:shd w:val="clear" w:color="auto" w:fill="auto"/>
        </w:rPr>
        <w:t>支付。</w:t>
      </w:r>
    </w:p>
    <w:p w14:paraId="1183A0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差旅费及相关费用的支付：</w:t>
      </w:r>
      <w:r>
        <w:rPr>
          <w:rFonts w:hint="eastAsia" w:ascii="仿宋_GB2312" w:hAnsi="仿宋_GB2312" w:eastAsia="仿宋_GB2312" w:cs="仿宋_GB2312"/>
          <w:color w:val="000000"/>
          <w:sz w:val="32"/>
          <w:szCs w:val="32"/>
          <w:highlight w:val="none"/>
          <w:u w:val="single"/>
          <w:shd w:val="clear" w:color="auto" w:fill="auto"/>
        </w:rPr>
        <w:t xml:space="preserve"> /  </w:t>
      </w:r>
      <w:r>
        <w:rPr>
          <w:rFonts w:hint="eastAsia" w:ascii="仿宋_GB2312" w:hAnsi="仿宋_GB2312" w:eastAsia="仿宋_GB2312" w:cs="仿宋_GB2312"/>
          <w:color w:val="000000"/>
          <w:sz w:val="32"/>
          <w:szCs w:val="32"/>
          <w:highlight w:val="none"/>
          <w:shd w:val="clear" w:color="auto" w:fill="auto"/>
        </w:rPr>
        <w:t xml:space="preserve">。          </w:t>
      </w:r>
      <w:bookmarkStart w:id="150" w:name="_Toc422322552"/>
    </w:p>
    <w:p w14:paraId="3F01A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kern w:val="28"/>
          <w:sz w:val="32"/>
          <w:szCs w:val="32"/>
          <w:highlight w:val="none"/>
          <w:shd w:val="clear" w:color="auto" w:fill="auto"/>
        </w:rPr>
      </w:pPr>
      <w:r>
        <w:rPr>
          <w:rFonts w:hint="eastAsia" w:ascii="仿宋_GB2312" w:hAnsi="仿宋_GB2312" w:eastAsia="仿宋_GB2312" w:cs="仿宋_GB2312"/>
          <w:b w:val="0"/>
          <w:bCs/>
          <w:color w:val="000000"/>
          <w:sz w:val="32"/>
          <w:szCs w:val="32"/>
          <w:highlight w:val="none"/>
          <w:shd w:val="clear" w:color="auto" w:fill="auto"/>
          <w:lang w:val="en-US" w:eastAsia="zh-CN"/>
        </w:rPr>
        <w:t>7</w:t>
      </w:r>
      <w:r>
        <w:rPr>
          <w:rFonts w:hint="eastAsia" w:ascii="仿宋_GB2312" w:hAnsi="仿宋_GB2312" w:eastAsia="仿宋_GB2312" w:cs="仿宋_GB2312"/>
          <w:b w:val="0"/>
          <w:bCs/>
          <w:color w:val="000000"/>
          <w:sz w:val="32"/>
          <w:szCs w:val="32"/>
          <w:highlight w:val="none"/>
          <w:shd w:val="clear" w:color="auto" w:fill="auto"/>
        </w:rPr>
        <w:t>.2奖励</w:t>
      </w:r>
      <w:bookmarkEnd w:id="150"/>
    </w:p>
    <w:p w14:paraId="749D7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合理化建议的奖励金额按下列方法确定：</w:t>
      </w:r>
      <w:r>
        <w:rPr>
          <w:rFonts w:hint="eastAsia" w:ascii="仿宋_GB2312" w:hAnsi="仿宋_GB2312" w:eastAsia="仿宋_GB2312" w:cs="仿宋_GB2312"/>
          <w:color w:val="000000"/>
          <w:sz w:val="32"/>
          <w:szCs w:val="32"/>
          <w:highlight w:val="none"/>
          <w:u w:val="single"/>
          <w:shd w:val="clear" w:color="auto" w:fill="auto"/>
        </w:rPr>
        <w:t>/</w:t>
      </w:r>
      <w:r>
        <w:rPr>
          <w:rFonts w:hint="eastAsia" w:ascii="仿宋_GB2312" w:hAnsi="仿宋_GB2312" w:eastAsia="仿宋_GB2312" w:cs="仿宋_GB2312"/>
          <w:color w:val="000000"/>
          <w:sz w:val="32"/>
          <w:szCs w:val="32"/>
          <w:highlight w:val="none"/>
          <w:shd w:val="clear" w:color="auto" w:fill="auto"/>
        </w:rPr>
        <w:t xml:space="preserve">。 </w:t>
      </w:r>
      <w:bookmarkStart w:id="151" w:name="_Toc422322553"/>
    </w:p>
    <w:p w14:paraId="3A373F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kern w:val="28"/>
          <w:sz w:val="32"/>
          <w:szCs w:val="32"/>
          <w:highlight w:val="none"/>
          <w:shd w:val="clear" w:color="auto" w:fill="auto"/>
        </w:rPr>
      </w:pPr>
      <w:r>
        <w:rPr>
          <w:rFonts w:hint="eastAsia" w:ascii="黑体" w:hAnsi="黑体" w:eastAsia="黑体" w:cs="黑体"/>
          <w:b w:val="0"/>
          <w:bCs/>
          <w:color w:val="000000"/>
          <w:sz w:val="32"/>
          <w:szCs w:val="32"/>
          <w:highlight w:val="none"/>
          <w:shd w:val="clear" w:color="auto" w:fill="auto"/>
          <w:lang w:val="en-US" w:eastAsia="zh-CN"/>
        </w:rPr>
        <w:t>8.</w:t>
      </w:r>
      <w:r>
        <w:rPr>
          <w:rFonts w:hint="eastAsia" w:ascii="黑体" w:hAnsi="黑体" w:eastAsia="黑体" w:cs="黑体"/>
          <w:b w:val="0"/>
          <w:bCs/>
          <w:color w:val="000000"/>
          <w:sz w:val="32"/>
          <w:szCs w:val="32"/>
          <w:highlight w:val="none"/>
          <w:shd w:val="clear" w:color="auto" w:fill="auto"/>
        </w:rPr>
        <w:t>保密</w:t>
      </w:r>
      <w:bookmarkEnd w:id="151"/>
    </w:p>
    <w:p w14:paraId="555347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1）</w:t>
      </w:r>
      <w:r>
        <w:rPr>
          <w:rFonts w:hint="eastAsia" w:ascii="仿宋_GB2312" w:hAnsi="仿宋_GB2312" w:eastAsia="仿宋_GB2312" w:cs="仿宋_GB2312"/>
          <w:color w:val="000000"/>
          <w:sz w:val="32"/>
          <w:szCs w:val="32"/>
          <w:highlight w:val="none"/>
          <w:shd w:val="clear" w:color="auto" w:fill="auto"/>
        </w:rPr>
        <w:t>在本合同履行期间，合同任一方就所有与本合同相关的公开声明和其他信息的披露需征得另一方书面同意。本合同任一方应对另一方的保密信息（包括</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为履行本合同而向</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提供的所有资料和</w:t>
      </w:r>
      <w:r>
        <w:rPr>
          <w:rFonts w:hint="eastAsia" w:ascii="仿宋_GB2312" w:hAnsi="仿宋_GB2312" w:eastAsia="仿宋_GB2312" w:cs="仿宋_GB2312"/>
          <w:color w:val="000000"/>
          <w:sz w:val="32"/>
          <w:szCs w:val="32"/>
          <w:highlight w:val="none"/>
          <w:shd w:val="clear" w:color="auto" w:fill="auto"/>
          <w:lang w:eastAsia="zh-CN"/>
        </w:rPr>
        <w:t>咨询人</w:t>
      </w:r>
      <w:r>
        <w:rPr>
          <w:rFonts w:hint="eastAsia" w:ascii="仿宋_GB2312" w:hAnsi="仿宋_GB2312" w:eastAsia="仿宋_GB2312" w:cs="仿宋_GB2312"/>
          <w:color w:val="000000"/>
          <w:sz w:val="32"/>
          <w:szCs w:val="32"/>
          <w:highlight w:val="none"/>
          <w:shd w:val="clear" w:color="auto" w:fill="auto"/>
        </w:rPr>
        <w:t>在本合同项下向</w:t>
      </w:r>
      <w:r>
        <w:rPr>
          <w:rFonts w:hint="eastAsia" w:ascii="仿宋_GB2312" w:hAnsi="仿宋_GB2312" w:eastAsia="仿宋_GB2312" w:cs="仿宋_GB2312"/>
          <w:color w:val="000000"/>
          <w:sz w:val="32"/>
          <w:szCs w:val="32"/>
          <w:highlight w:val="none"/>
          <w:shd w:val="clear" w:color="auto" w:fill="auto"/>
          <w:lang w:eastAsia="zh-CN"/>
        </w:rPr>
        <w:t>委托人</w:t>
      </w:r>
      <w:r>
        <w:rPr>
          <w:rFonts w:hint="eastAsia" w:ascii="仿宋_GB2312" w:hAnsi="仿宋_GB2312" w:eastAsia="仿宋_GB2312" w:cs="仿宋_GB2312"/>
          <w:color w:val="000000"/>
          <w:sz w:val="32"/>
          <w:szCs w:val="32"/>
          <w:highlight w:val="none"/>
          <w:shd w:val="clear" w:color="auto" w:fill="auto"/>
        </w:rPr>
        <w:t>提交的工作成果）严格保密，未经信息披露方事先书面许可，不得向合同以外的任何第三方披露，否则，信息披露方有权终止本合同，并要求泄密方支付[5]万元作为违约金。若该等违约金不足以弥补披露方因此遭受的损失的，泄密方仍需承担全部赔偿责任。上述保密责任不涉及以下领域：</w:t>
      </w:r>
    </w:p>
    <w:p w14:paraId="76EB9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①</w:t>
      </w:r>
      <w:r>
        <w:rPr>
          <w:rFonts w:hint="eastAsia" w:ascii="仿宋_GB2312" w:hAnsi="仿宋_GB2312" w:eastAsia="仿宋_GB2312" w:cs="仿宋_GB2312"/>
          <w:color w:val="000000"/>
          <w:sz w:val="32"/>
          <w:szCs w:val="32"/>
          <w:highlight w:val="none"/>
          <w:shd w:val="clear" w:color="auto" w:fill="auto"/>
        </w:rPr>
        <w:t>根据法律或有权的行政管理单位、法院或法庭的要求而进行的披露；</w:t>
      </w:r>
    </w:p>
    <w:p w14:paraId="471FEF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②</w:t>
      </w:r>
      <w:r>
        <w:rPr>
          <w:rFonts w:hint="eastAsia" w:ascii="仿宋_GB2312" w:hAnsi="仿宋_GB2312" w:eastAsia="仿宋_GB2312" w:cs="仿宋_GB2312"/>
          <w:color w:val="000000"/>
          <w:sz w:val="32"/>
          <w:szCs w:val="32"/>
          <w:highlight w:val="none"/>
          <w:shd w:val="clear" w:color="auto" w:fill="auto"/>
        </w:rPr>
        <w:t>属于公有领域的信息（并非违反本合同而形成的结果）。</w:t>
      </w:r>
    </w:p>
    <w:p w14:paraId="2F3B9C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2</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在讨论、签订、执行本合同的过程中，双方保证对所获悉的属于对方的且无法自公开渠道获得的文件及资料（包括但不限于商业秘密、公司计划、运营活动、财务信息、技术信息、经营信息及其他商业秘密）予以保密。未经该资料和文件的提供方书面同意，另一方不得向任何第三方泄露该商业秘密的全部或部分内容。但法律法规另有规定或双方另有约定的除外。保密期限直至该等保密信息进入公共领域为止。</w:t>
      </w:r>
    </w:p>
    <w:p w14:paraId="13FA8D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3</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rPr>
        <w:t>保密条款系独立条款，不因本合同未生效、被撤销、变更、解除或终止而无效。</w:t>
      </w:r>
    </w:p>
    <w:p w14:paraId="0A5422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7"/>
          <w:rFonts w:hint="eastAsia" w:ascii="仿宋_GB2312" w:hAnsi="仿宋_GB2312" w:eastAsia="仿宋_GB2312" w:cs="仿宋_GB2312"/>
          <w:b w:val="0"/>
          <w:color w:val="000000"/>
          <w:sz w:val="32"/>
          <w:szCs w:val="32"/>
          <w:highlight w:val="none"/>
          <w:shd w:val="clear" w:color="auto" w:fill="auto"/>
        </w:rPr>
      </w:pPr>
      <w:bookmarkStart w:id="152" w:name="_Toc422322555"/>
      <w:bookmarkStart w:id="153" w:name="_Toc419045124"/>
      <w:r>
        <w:rPr>
          <w:rStyle w:val="17"/>
          <w:rFonts w:hint="eastAsia" w:ascii="仿宋_GB2312" w:hAnsi="仿宋_GB2312" w:eastAsia="仿宋_GB2312" w:cs="仿宋_GB2312"/>
          <w:b w:val="0"/>
          <w:color w:val="000000"/>
          <w:sz w:val="32"/>
          <w:szCs w:val="32"/>
          <w:highlight w:val="none"/>
          <w:shd w:val="clear" w:color="auto" w:fill="auto"/>
          <w:lang w:val="en-US" w:eastAsia="zh-CN"/>
        </w:rPr>
        <w:t>（4）</w:t>
      </w:r>
      <w:r>
        <w:rPr>
          <w:rStyle w:val="17"/>
          <w:rFonts w:hint="eastAsia" w:ascii="仿宋_GB2312" w:hAnsi="仿宋_GB2312" w:eastAsia="仿宋_GB2312" w:cs="仿宋_GB2312"/>
          <w:b w:val="0"/>
          <w:color w:val="000000"/>
          <w:sz w:val="32"/>
          <w:szCs w:val="32"/>
          <w:highlight w:val="none"/>
          <w:shd w:val="clear" w:color="auto" w:fill="auto"/>
        </w:rPr>
        <w:t>知识产权</w:t>
      </w:r>
      <w:bookmarkEnd w:id="152"/>
      <w:bookmarkEnd w:id="153"/>
    </w:p>
    <w:p w14:paraId="2CD3EE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委托人提供给咨询人的图纸、委托人为实施工程自行编制或委托编制的技术规范以及反映委托人要求的或其他类似性质文件的著作权属于</w:t>
      </w:r>
      <w:r>
        <w:rPr>
          <w:rFonts w:hint="eastAsia" w:ascii="仿宋_GB2312" w:hAnsi="仿宋_GB2312" w:eastAsia="仿宋_GB2312" w:cs="仿宋_GB2312"/>
          <w:color w:val="000000"/>
          <w:sz w:val="32"/>
          <w:szCs w:val="32"/>
          <w:highlight w:val="none"/>
          <w:u w:val="single"/>
          <w:shd w:val="clear" w:color="auto" w:fill="auto"/>
        </w:rPr>
        <w:t>归委托人所有，咨询人应按合同约定承担保密责任</w:t>
      </w:r>
      <w:r>
        <w:rPr>
          <w:rFonts w:hint="eastAsia" w:ascii="仿宋_GB2312" w:hAnsi="仿宋_GB2312" w:eastAsia="仿宋_GB2312" w:cs="仿宋_GB2312"/>
          <w:color w:val="000000"/>
          <w:sz w:val="32"/>
          <w:szCs w:val="32"/>
          <w:highlight w:val="none"/>
          <w:shd w:val="clear" w:color="auto" w:fill="auto"/>
        </w:rPr>
        <w:t>。</w:t>
      </w:r>
    </w:p>
    <w:p w14:paraId="5A1CB6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咨询人为履行本合同约定而编制的成果文件，其著作权属于</w:t>
      </w:r>
      <w:r>
        <w:rPr>
          <w:rFonts w:hint="eastAsia" w:ascii="仿宋_GB2312" w:hAnsi="仿宋_GB2312" w:eastAsia="仿宋_GB2312" w:cs="仿宋_GB2312"/>
          <w:color w:val="000000"/>
          <w:sz w:val="32"/>
          <w:szCs w:val="32"/>
          <w:highlight w:val="none"/>
          <w:u w:val="single"/>
          <w:shd w:val="clear" w:color="auto" w:fill="auto"/>
        </w:rPr>
        <w:t>委托人所有</w:t>
      </w:r>
      <w:r>
        <w:rPr>
          <w:rFonts w:hint="eastAsia" w:ascii="仿宋_GB2312" w:hAnsi="仿宋_GB2312" w:eastAsia="仿宋_GB2312" w:cs="仿宋_GB2312"/>
          <w:color w:val="000000"/>
          <w:sz w:val="32"/>
          <w:szCs w:val="32"/>
          <w:highlight w:val="none"/>
          <w:shd w:val="clear" w:color="auto" w:fill="auto"/>
        </w:rPr>
        <w:t>。</w:t>
      </w:r>
    </w:p>
    <w:p w14:paraId="5CC20C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rPr>
        <w:t>双方将履行本合同形成的有关成果文件用于企业宣传、申报奖项以及接受上级主管部门的检查须遵守以下约定：</w:t>
      </w:r>
      <w:bookmarkStart w:id="154" w:name="_Toc419045125"/>
      <w:bookmarkStart w:id="155" w:name="_Toc422322556"/>
      <w:r>
        <w:rPr>
          <w:rFonts w:hint="eastAsia" w:ascii="仿宋_GB2312" w:hAnsi="仿宋_GB2312" w:eastAsia="仿宋_GB2312" w:cs="仿宋_GB2312"/>
          <w:color w:val="000000"/>
          <w:sz w:val="32"/>
          <w:szCs w:val="32"/>
          <w:highlight w:val="none"/>
          <w:u w:val="single"/>
          <w:shd w:val="clear" w:color="auto" w:fill="auto"/>
        </w:rPr>
        <w:t>咨询人应书面征求委托人意见，否则视为咨询人未履行保密义务</w:t>
      </w:r>
      <w:r>
        <w:rPr>
          <w:rFonts w:hint="eastAsia" w:ascii="仿宋_GB2312" w:hAnsi="仿宋_GB2312" w:eastAsia="仿宋_GB2312" w:cs="仿宋_GB2312"/>
          <w:color w:val="000000"/>
          <w:sz w:val="32"/>
          <w:szCs w:val="32"/>
          <w:highlight w:val="none"/>
          <w:shd w:val="clear" w:color="auto" w:fill="auto"/>
        </w:rPr>
        <w:t>。</w:t>
      </w:r>
    </w:p>
    <w:p w14:paraId="2742D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shd w:val="clear" w:color="auto" w:fill="auto"/>
          <w:lang w:val="en-US" w:eastAsia="zh-CN"/>
        </w:rPr>
      </w:pPr>
      <w:r>
        <w:rPr>
          <w:rFonts w:hint="eastAsia" w:ascii="黑体" w:hAnsi="黑体" w:eastAsia="黑体" w:cs="黑体"/>
          <w:color w:val="000000"/>
          <w:sz w:val="32"/>
          <w:szCs w:val="32"/>
          <w:highlight w:val="none"/>
          <w:shd w:val="clear" w:color="auto" w:fill="auto"/>
          <w:lang w:val="en-US" w:eastAsia="zh-CN"/>
        </w:rPr>
        <w:t>9.免责条款</w:t>
      </w:r>
    </w:p>
    <w:p w14:paraId="09DFB9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1.本合同所称不可抗力，是指本合同各方不可预见，而且对其发生和产生的后果不能预防或不可避免且不可克服的客观情况，包括但不限于：战争、严重火灾、洪水、台风、地震、国家政策的重大变化等。</w:t>
      </w:r>
    </w:p>
    <w:p w14:paraId="66E070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2.本合同任何一方因不可抗力不能履行或不能完全履行本合同的义务时，应在不可抗力发生之日起</w:t>
      </w:r>
      <w:permStart w:id="99" w:edGrp="everyone"/>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7</w:t>
      </w:r>
      <w:permEnd w:id="99"/>
      <w:r>
        <w:rPr>
          <w:rFonts w:hint="eastAsia" w:ascii="仿宋_GB2312" w:hAnsi="仿宋_GB2312" w:eastAsia="仿宋_GB2312" w:cs="仿宋_GB2312"/>
          <w:sz w:val="32"/>
          <w:szCs w:val="32"/>
          <w:highlight w:val="none"/>
          <w:shd w:val="clear" w:color="auto" w:fill="auto"/>
        </w:rPr>
        <w:t>日内通知本合同的其他方，并在不可抗力发生之日起</w:t>
      </w:r>
      <w:permStart w:id="100" w:edGrp="everyone"/>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15</w:t>
      </w:r>
      <w:permEnd w:id="100"/>
      <w:r>
        <w:rPr>
          <w:rFonts w:hint="eastAsia" w:ascii="仿宋_GB2312" w:hAnsi="仿宋_GB2312" w:eastAsia="仿宋_GB2312" w:cs="仿宋_GB2312"/>
          <w:sz w:val="32"/>
          <w:szCs w:val="32"/>
          <w:highlight w:val="none"/>
          <w:shd w:val="clear" w:color="auto" w:fill="auto"/>
        </w:rPr>
        <w:t>日内向其他方提供由有关部门出具的不可抗力证明。</w:t>
      </w:r>
    </w:p>
    <w:p w14:paraId="4B39C5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3.因不可抗力不能履行合同的，根据不可抗力的影响，受影响方可免除部分或全部责任，但法律另有规定的除外，延迟履行合同后发生不可抗力的，不能免除责任。</w:t>
      </w:r>
    </w:p>
    <w:p w14:paraId="424400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4.如果因不可抗力的影响致使本合同终止履行的，任何一方均有权终止本合同，并书面通知对方。</w:t>
      </w:r>
    </w:p>
    <w:p w14:paraId="5F619B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000000"/>
          <w:sz w:val="32"/>
          <w:szCs w:val="32"/>
          <w:highlight w:val="none"/>
          <w:shd w:val="clear" w:color="auto" w:fill="auto"/>
        </w:rPr>
      </w:pPr>
      <w:r>
        <w:rPr>
          <w:rStyle w:val="16"/>
          <w:rFonts w:hint="eastAsia" w:ascii="黑体" w:hAnsi="黑体" w:eastAsia="黑体" w:cs="黑体"/>
          <w:b w:val="0"/>
          <w:bCs w:val="0"/>
          <w:color w:val="000000"/>
          <w:sz w:val="32"/>
          <w:szCs w:val="32"/>
          <w:highlight w:val="none"/>
          <w:shd w:val="clear" w:color="auto" w:fill="auto"/>
          <w:lang w:val="en-US" w:eastAsia="zh-CN"/>
        </w:rPr>
        <w:t>10</w:t>
      </w:r>
      <w:r>
        <w:rPr>
          <w:rStyle w:val="16"/>
          <w:rFonts w:hint="eastAsia" w:ascii="黑体" w:hAnsi="黑体" w:eastAsia="黑体" w:cs="黑体"/>
          <w:b w:val="0"/>
          <w:bCs w:val="0"/>
          <w:color w:val="000000"/>
          <w:sz w:val="32"/>
          <w:szCs w:val="32"/>
          <w:highlight w:val="none"/>
          <w:shd w:val="clear" w:color="auto" w:fill="auto"/>
        </w:rPr>
        <w:t>.补充条款</w:t>
      </w:r>
      <w:bookmarkEnd w:id="154"/>
      <w:bookmarkEnd w:id="155"/>
    </w:p>
    <w:p w14:paraId="18B62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10</w:t>
      </w:r>
      <w:r>
        <w:rPr>
          <w:rFonts w:hint="eastAsia" w:ascii="仿宋_GB2312" w:hAnsi="仿宋_GB2312" w:eastAsia="仿宋_GB2312" w:cs="仿宋_GB2312"/>
          <w:color w:val="000000"/>
          <w:sz w:val="32"/>
          <w:szCs w:val="32"/>
          <w:highlight w:val="none"/>
          <w:shd w:val="clear" w:color="auto" w:fill="auto"/>
        </w:rPr>
        <w:t>.1咨询人被认定为中标无效的，本合同认定无效。</w:t>
      </w:r>
    </w:p>
    <w:p w14:paraId="1AB2F5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lang w:val="en-US" w:eastAsia="zh-CN"/>
        </w:rPr>
        <w:t>10</w:t>
      </w:r>
      <w:r>
        <w:rPr>
          <w:rFonts w:hint="eastAsia" w:ascii="仿宋_GB2312" w:hAnsi="仿宋_GB2312" w:eastAsia="仿宋_GB2312" w:cs="仿宋_GB2312"/>
          <w:color w:val="000000"/>
          <w:sz w:val="32"/>
          <w:szCs w:val="32"/>
          <w:highlight w:val="none"/>
          <w:shd w:val="clear" w:color="auto" w:fill="auto"/>
        </w:rPr>
        <w:t>.2合同履行期间，咨询人在本项目外出现失信行为或不良行为记录，且影响本合同履约的，委托人有权解除本合同。</w:t>
      </w:r>
    </w:p>
    <w:p w14:paraId="25F07BD3">
      <w:pPr>
        <w:pStyle w:val="3"/>
        <w:pageBreakBefore w:val="0"/>
        <w:kinsoku/>
        <w:wordWrap/>
        <w:overflowPunct/>
        <w:topLinePunct w:val="0"/>
        <w:bidi w:val="0"/>
        <w:spacing w:line="560" w:lineRule="exact"/>
        <w:textAlignment w:val="auto"/>
        <w:rPr>
          <w:rFonts w:hint="eastAsia" w:ascii="仿宋_GB2312" w:hAnsi="仿宋_GB2312" w:eastAsia="仿宋_GB2312" w:cs="仿宋_GB2312"/>
          <w:highlight w:val="none"/>
          <w:shd w:val="clear" w:color="auto" w:fill="auto"/>
        </w:rPr>
        <w:sectPr>
          <w:footerReference r:id="rId9" w:type="default"/>
          <w:pgSz w:w="11906" w:h="16838"/>
          <w:pgMar w:top="1440" w:right="1800" w:bottom="1440" w:left="1800" w:header="851" w:footer="992" w:gutter="0"/>
          <w:pgNumType w:fmt="decimal" w:start="1"/>
          <w:cols w:space="720" w:num="1"/>
          <w:docGrid w:linePitch="312" w:charSpace="0"/>
        </w:sectPr>
      </w:pPr>
      <w:r>
        <w:rPr>
          <w:rFonts w:hint="eastAsia" w:ascii="仿宋_GB2312" w:hAnsi="仿宋_GB2312" w:eastAsia="仿宋_GB2312" w:cs="仿宋_GB2312"/>
          <w:highlight w:val="none"/>
          <w:shd w:val="clear" w:color="auto" w:fill="auto"/>
        </w:rPr>
        <w:t xml:space="preserve">  </w:t>
      </w:r>
    </w:p>
    <w:p w14:paraId="2B56B459">
      <w:pPr>
        <w:pStyle w:val="2"/>
        <w:pageBreakBefore w:val="0"/>
        <w:kinsoku/>
        <w:wordWrap/>
        <w:overflowPunct/>
        <w:topLinePunct w:val="0"/>
        <w:bidi w:val="0"/>
        <w:spacing w:before="120" w:after="240" w:line="560" w:lineRule="exact"/>
        <w:ind w:left="420"/>
        <w:textAlignment w:val="auto"/>
        <w:rPr>
          <w:rFonts w:hint="eastAsia" w:ascii="仿宋_GB2312" w:hAnsi="仿宋_GB2312" w:eastAsia="仿宋_GB2312" w:cs="仿宋_GB2312"/>
          <w:color w:val="000000"/>
          <w:sz w:val="32"/>
          <w:szCs w:val="32"/>
          <w:highlight w:val="none"/>
          <w:shd w:val="clear" w:color="auto" w:fill="auto"/>
        </w:rPr>
      </w:pPr>
      <w:bookmarkStart w:id="156" w:name="_Toc10958"/>
      <w:bookmarkStart w:id="157" w:name="_Toc419045126"/>
      <w:bookmarkStart w:id="158" w:name="_Toc24722"/>
      <w:bookmarkStart w:id="159" w:name="_Toc12522"/>
      <w:bookmarkStart w:id="160" w:name="_Toc422322557"/>
      <w:r>
        <w:rPr>
          <w:rFonts w:hint="eastAsia" w:ascii="仿宋_GB2312" w:hAnsi="仿宋_GB2312" w:eastAsia="仿宋_GB2312" w:cs="仿宋_GB2312"/>
          <w:color w:val="000000"/>
          <w:sz w:val="32"/>
          <w:szCs w:val="32"/>
          <w:highlight w:val="none"/>
          <w:shd w:val="clear" w:color="auto" w:fill="auto"/>
        </w:rPr>
        <w:t>附录A 服务范围及工作内容</w:t>
      </w:r>
      <w:bookmarkEnd w:id="156"/>
      <w:bookmarkEnd w:id="157"/>
      <w:bookmarkEnd w:id="158"/>
      <w:bookmarkEnd w:id="159"/>
      <w:bookmarkEnd w:id="160"/>
    </w:p>
    <w:p w14:paraId="1540EC04">
      <w:pPr>
        <w:pageBreakBefore w:val="0"/>
        <w:kinsoku/>
        <w:wordWrap/>
        <w:overflowPunct/>
        <w:topLinePunct w:val="0"/>
        <w:bidi w:val="0"/>
        <w:spacing w:line="560" w:lineRule="exact"/>
        <w:ind w:firstLine="482"/>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注：</w:t>
      </w:r>
      <w:r>
        <w:rPr>
          <w:rFonts w:hint="eastAsia" w:ascii="仿宋_GB2312" w:hAnsi="仿宋_GB2312" w:eastAsia="仿宋_GB2312" w:cs="仿宋_GB2312"/>
          <w:color w:val="000000"/>
          <w:sz w:val="32"/>
          <w:szCs w:val="32"/>
          <w:highlight w:val="none"/>
          <w:shd w:val="clear" w:color="auto" w:fill="auto"/>
        </w:rPr>
        <w:t>附录A中服务范围及工作内容未涉及的可在“其他”项中列明。</w:t>
      </w:r>
    </w:p>
    <w:p w14:paraId="2F9F86BD">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bCs/>
          <w:color w:val="000000"/>
          <w:sz w:val="32"/>
          <w:szCs w:val="32"/>
          <w:highlight w:val="none"/>
          <w:shd w:val="clear" w:color="auto" w:fill="auto"/>
        </w:rPr>
      </w:pPr>
    </w:p>
    <w:tbl>
      <w:tblPr>
        <w:tblStyle w:val="9"/>
        <w:tblW w:w="14449" w:type="dxa"/>
        <w:jc w:val="center"/>
        <w:tblLayout w:type="fixed"/>
        <w:tblCellMar>
          <w:top w:w="0" w:type="dxa"/>
          <w:left w:w="108" w:type="dxa"/>
          <w:bottom w:w="0" w:type="dxa"/>
          <w:right w:w="108" w:type="dxa"/>
        </w:tblCellMar>
      </w:tblPr>
      <w:tblGrid>
        <w:gridCol w:w="1633"/>
        <w:gridCol w:w="4625"/>
        <w:gridCol w:w="3403"/>
        <w:gridCol w:w="4788"/>
      </w:tblGrid>
      <w:tr w14:paraId="5B5EBED3">
        <w:tblPrEx>
          <w:tblCellMar>
            <w:top w:w="0" w:type="dxa"/>
            <w:left w:w="108" w:type="dxa"/>
            <w:bottom w:w="0" w:type="dxa"/>
            <w:right w:w="108" w:type="dxa"/>
          </w:tblCellMar>
        </w:tblPrEx>
        <w:trPr>
          <w:trHeight w:val="506" w:hRule="atLeast"/>
          <w:tblHeader/>
          <w:jc w:val="center"/>
        </w:trPr>
        <w:tc>
          <w:tcPr>
            <w:tcW w:w="14449" w:type="dxa"/>
            <w:gridSpan w:val="4"/>
            <w:tcBorders>
              <w:top w:val="nil"/>
              <w:left w:val="nil"/>
              <w:bottom w:val="single" w:color="auto" w:sz="4" w:space="0"/>
              <w:right w:val="nil"/>
            </w:tcBorders>
            <w:noWrap/>
            <w:vAlign w:val="center"/>
          </w:tcPr>
          <w:p w14:paraId="20B22430">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b/>
                <w:bCs/>
                <w:color w:val="000000"/>
                <w:kern w:val="0"/>
                <w:sz w:val="32"/>
                <w:szCs w:val="32"/>
                <w:highlight w:val="none"/>
                <w:shd w:val="clear" w:color="auto" w:fill="auto"/>
              </w:rPr>
            </w:pPr>
            <w:permStart w:id="101" w:edGrp="everyone" w:colFirst="0" w:colLast="0"/>
            <w:r>
              <w:rPr>
                <w:rFonts w:hint="eastAsia" w:ascii="仿宋_GB2312" w:hAnsi="仿宋_GB2312" w:eastAsia="仿宋_GB2312" w:cs="仿宋_GB2312"/>
                <w:b/>
                <w:bCs/>
                <w:color w:val="000000"/>
                <w:kern w:val="0"/>
                <w:sz w:val="32"/>
                <w:szCs w:val="32"/>
                <w:highlight w:val="none"/>
                <w:shd w:val="clear" w:color="auto" w:fill="auto"/>
              </w:rPr>
              <w:t>重点工作时间要求</w:t>
            </w:r>
          </w:p>
        </w:tc>
      </w:tr>
      <w:permEnd w:id="101"/>
      <w:tr w14:paraId="17173F2C">
        <w:tblPrEx>
          <w:tblCellMar>
            <w:top w:w="0" w:type="dxa"/>
            <w:left w:w="108" w:type="dxa"/>
            <w:bottom w:w="0" w:type="dxa"/>
            <w:right w:w="108" w:type="dxa"/>
          </w:tblCellMar>
        </w:tblPrEx>
        <w:trPr>
          <w:trHeight w:val="285" w:hRule="atLeast"/>
          <w:tblHeader/>
          <w:jc w:val="center"/>
        </w:trPr>
        <w:tc>
          <w:tcPr>
            <w:tcW w:w="1633" w:type="dxa"/>
            <w:tcBorders>
              <w:top w:val="nil"/>
              <w:left w:val="single" w:color="auto" w:sz="4" w:space="0"/>
              <w:bottom w:val="single" w:color="auto" w:sz="4" w:space="0"/>
              <w:right w:val="single" w:color="auto" w:sz="4" w:space="0"/>
            </w:tcBorders>
            <w:noWrap w:val="0"/>
            <w:vAlign w:val="center"/>
          </w:tcPr>
          <w:p w14:paraId="4B77C7CE">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02" w:edGrp="everyone" w:colFirst="0" w:colLast="0"/>
            <w:permStart w:id="103" w:edGrp="everyone" w:colFirst="1" w:colLast="1"/>
            <w:permStart w:id="104" w:edGrp="everyone" w:colFirst="2" w:colLast="2"/>
            <w:permStart w:id="105" w:edGrp="everyone" w:colFirst="3" w:colLast="3"/>
            <w:r>
              <w:rPr>
                <w:rFonts w:hint="eastAsia" w:ascii="仿宋_GB2312" w:hAnsi="仿宋_GB2312" w:eastAsia="仿宋_GB2312" w:cs="仿宋_GB2312"/>
                <w:color w:val="000000"/>
                <w:kern w:val="0"/>
                <w:sz w:val="32"/>
                <w:szCs w:val="32"/>
                <w:highlight w:val="none"/>
                <w:shd w:val="clear" w:color="auto" w:fill="auto"/>
              </w:rPr>
              <w:t>名称</w:t>
            </w:r>
          </w:p>
        </w:tc>
        <w:tc>
          <w:tcPr>
            <w:tcW w:w="4625" w:type="dxa"/>
            <w:tcBorders>
              <w:top w:val="nil"/>
              <w:left w:val="nil"/>
              <w:bottom w:val="single" w:color="auto" w:sz="4" w:space="0"/>
              <w:right w:val="single" w:color="auto" w:sz="4" w:space="0"/>
            </w:tcBorders>
            <w:noWrap w:val="0"/>
            <w:vAlign w:val="center"/>
          </w:tcPr>
          <w:p w14:paraId="40FDDE89">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工作内容</w:t>
            </w:r>
          </w:p>
        </w:tc>
        <w:tc>
          <w:tcPr>
            <w:tcW w:w="3403" w:type="dxa"/>
            <w:tcBorders>
              <w:top w:val="nil"/>
              <w:left w:val="nil"/>
              <w:bottom w:val="single" w:color="auto" w:sz="4" w:space="0"/>
              <w:right w:val="single" w:color="auto" w:sz="4" w:space="0"/>
            </w:tcBorders>
            <w:noWrap w:val="0"/>
            <w:vAlign w:val="center"/>
          </w:tcPr>
          <w:p w14:paraId="02D01902">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完成时间</w:t>
            </w:r>
          </w:p>
        </w:tc>
        <w:tc>
          <w:tcPr>
            <w:tcW w:w="4788" w:type="dxa"/>
            <w:tcBorders>
              <w:top w:val="nil"/>
              <w:left w:val="nil"/>
              <w:bottom w:val="single" w:color="auto" w:sz="4" w:space="0"/>
              <w:right w:val="single" w:color="auto" w:sz="4" w:space="0"/>
            </w:tcBorders>
            <w:noWrap w:val="0"/>
            <w:vAlign w:val="center"/>
          </w:tcPr>
          <w:p w14:paraId="75362DF6">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提供成果</w:t>
            </w:r>
          </w:p>
        </w:tc>
      </w:tr>
      <w:permEnd w:id="102"/>
      <w:permEnd w:id="103"/>
      <w:permEnd w:id="104"/>
      <w:permEnd w:id="105"/>
      <w:tr w14:paraId="7A0422AB">
        <w:tblPrEx>
          <w:tblCellMar>
            <w:top w:w="0" w:type="dxa"/>
            <w:left w:w="108" w:type="dxa"/>
            <w:bottom w:w="0" w:type="dxa"/>
            <w:right w:w="108" w:type="dxa"/>
          </w:tblCellMar>
        </w:tblPrEx>
        <w:trPr>
          <w:trHeight w:val="1174" w:hRule="atLeast"/>
          <w:jc w:val="center"/>
        </w:trPr>
        <w:tc>
          <w:tcPr>
            <w:tcW w:w="1633" w:type="dxa"/>
            <w:vMerge w:val="restart"/>
            <w:tcBorders>
              <w:top w:val="single" w:color="auto" w:sz="4" w:space="0"/>
              <w:left w:val="single" w:color="auto" w:sz="4" w:space="0"/>
              <w:right w:val="single" w:color="auto" w:sz="4" w:space="0"/>
            </w:tcBorders>
            <w:noWrap w:val="0"/>
            <w:vAlign w:val="center"/>
          </w:tcPr>
          <w:p w14:paraId="563FA4BD">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06" w:edGrp="everyone" w:colFirst="0" w:colLast="0"/>
            <w:permStart w:id="107" w:edGrp="everyone" w:colFirst="1" w:colLast="1"/>
            <w:permStart w:id="108" w:edGrp="everyone" w:colFirst="2" w:colLast="2"/>
            <w:permStart w:id="109" w:edGrp="everyone" w:colFirst="3" w:colLast="3"/>
            <w:r>
              <w:rPr>
                <w:rFonts w:hint="eastAsia" w:ascii="仿宋_GB2312" w:hAnsi="仿宋_GB2312" w:eastAsia="仿宋_GB2312" w:cs="仿宋_GB2312"/>
                <w:color w:val="000000"/>
                <w:kern w:val="0"/>
                <w:sz w:val="32"/>
                <w:szCs w:val="32"/>
                <w:highlight w:val="none"/>
                <w:shd w:val="clear" w:color="auto" w:fill="auto"/>
              </w:rPr>
              <w:t>招标阶段工作</w:t>
            </w:r>
          </w:p>
          <w:p w14:paraId="3C676F51">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
        </w:tc>
        <w:tc>
          <w:tcPr>
            <w:tcW w:w="4625" w:type="dxa"/>
            <w:tcBorders>
              <w:top w:val="single" w:color="auto" w:sz="4" w:space="0"/>
              <w:left w:val="single" w:color="auto" w:sz="4" w:space="0"/>
              <w:bottom w:val="single" w:color="auto" w:sz="4" w:space="0"/>
              <w:right w:val="single" w:color="auto" w:sz="4" w:space="0"/>
            </w:tcBorders>
            <w:noWrap w:val="0"/>
            <w:vAlign w:val="center"/>
          </w:tcPr>
          <w:p w14:paraId="22E7FF43">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包含但不限于施工费用、暂估价、管线迁改(如需)、市政接入费、甲供材的工程量清单及控制价编制</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0F0AF2DE">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发包人提供相关资料及施工图纸后7日历天内，且需满足发包人的招标节点需求</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7DBB3F38">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rPr>
              <w:t>招标工程量清单及控制价</w:t>
            </w:r>
          </w:p>
        </w:tc>
      </w:tr>
      <w:permEnd w:id="106"/>
      <w:permEnd w:id="107"/>
      <w:permEnd w:id="108"/>
      <w:permEnd w:id="109"/>
      <w:tr w14:paraId="4375868F">
        <w:tblPrEx>
          <w:tblCellMar>
            <w:top w:w="0" w:type="dxa"/>
            <w:left w:w="108" w:type="dxa"/>
            <w:bottom w:w="0" w:type="dxa"/>
            <w:right w:w="108" w:type="dxa"/>
          </w:tblCellMar>
        </w:tblPrEx>
        <w:trPr>
          <w:trHeight w:val="90" w:hRule="atLeast"/>
          <w:jc w:val="center"/>
        </w:trPr>
        <w:tc>
          <w:tcPr>
            <w:tcW w:w="1633" w:type="dxa"/>
            <w:vMerge w:val="continue"/>
            <w:tcBorders>
              <w:left w:val="single" w:color="auto" w:sz="4" w:space="0"/>
              <w:right w:val="single" w:color="auto" w:sz="4" w:space="0"/>
            </w:tcBorders>
            <w:noWrap w:val="0"/>
            <w:vAlign w:val="center"/>
          </w:tcPr>
          <w:p w14:paraId="121855BA">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10" w:edGrp="everyone" w:colFirst="0" w:colLast="0"/>
            <w:permStart w:id="111" w:edGrp="everyone" w:colFirst="1" w:colLast="1"/>
            <w:permStart w:id="112" w:edGrp="everyone" w:colFirst="2" w:colLast="2"/>
            <w:permStart w:id="113" w:edGrp="everyone" w:colFirst="3" w:colLast="3"/>
          </w:p>
        </w:tc>
        <w:tc>
          <w:tcPr>
            <w:tcW w:w="4625" w:type="dxa"/>
            <w:tcBorders>
              <w:top w:val="single" w:color="auto" w:sz="4" w:space="0"/>
              <w:left w:val="single" w:color="auto" w:sz="4" w:space="0"/>
              <w:bottom w:val="single" w:color="auto" w:sz="4" w:space="0"/>
              <w:right w:val="single" w:color="auto" w:sz="4" w:space="0"/>
            </w:tcBorders>
            <w:noWrap w:val="0"/>
            <w:vAlign w:val="center"/>
          </w:tcPr>
          <w:p w14:paraId="7EF4D044">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2"/>
                <w:sz w:val="32"/>
                <w:szCs w:val="32"/>
                <w:highlight w:val="none"/>
                <w:u w:val="none"/>
                <w:shd w:val="clear" w:color="auto" w:fill="auto"/>
              </w:rPr>
              <w:t>招标过程中与工程量清单及控制价成果文件相关的答疑</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60BF1C6F">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发包人提供相关疑问后1日历天内完成</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5167991F">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rPr>
              <w:t>答疑回复</w:t>
            </w:r>
          </w:p>
        </w:tc>
      </w:tr>
      <w:permEnd w:id="110"/>
      <w:permEnd w:id="111"/>
      <w:permEnd w:id="112"/>
      <w:permEnd w:id="113"/>
      <w:tr w14:paraId="439C6A5A">
        <w:tblPrEx>
          <w:tblCellMar>
            <w:top w:w="0" w:type="dxa"/>
            <w:left w:w="108" w:type="dxa"/>
            <w:bottom w:w="0" w:type="dxa"/>
            <w:right w:w="108" w:type="dxa"/>
          </w:tblCellMar>
        </w:tblPrEx>
        <w:trPr>
          <w:trHeight w:val="570" w:hRule="atLeast"/>
          <w:jc w:val="center"/>
        </w:trPr>
        <w:tc>
          <w:tcPr>
            <w:tcW w:w="1633" w:type="dxa"/>
            <w:vMerge w:val="continue"/>
            <w:tcBorders>
              <w:left w:val="single" w:color="auto" w:sz="4" w:space="0"/>
              <w:bottom w:val="single" w:color="auto" w:sz="4" w:space="0"/>
              <w:right w:val="single" w:color="auto" w:sz="4" w:space="0"/>
            </w:tcBorders>
            <w:noWrap w:val="0"/>
            <w:vAlign w:val="center"/>
          </w:tcPr>
          <w:p w14:paraId="0E9C5D2B">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14" w:edGrp="everyone" w:colFirst="0" w:colLast="0"/>
            <w:permStart w:id="115" w:edGrp="everyone" w:colFirst="1" w:colLast="1"/>
            <w:permStart w:id="116" w:edGrp="everyone" w:colFirst="2" w:colLast="2"/>
            <w:permStart w:id="117" w:edGrp="everyone" w:colFirst="3" w:colLast="3"/>
          </w:p>
        </w:tc>
        <w:tc>
          <w:tcPr>
            <w:tcW w:w="4625" w:type="dxa"/>
            <w:tcBorders>
              <w:top w:val="single" w:color="auto" w:sz="4" w:space="0"/>
              <w:left w:val="single" w:color="auto" w:sz="4" w:space="0"/>
              <w:bottom w:val="single" w:color="auto" w:sz="4" w:space="0"/>
              <w:right w:val="single" w:color="auto" w:sz="4" w:space="0"/>
            </w:tcBorders>
            <w:noWrap w:val="0"/>
            <w:vAlign w:val="center"/>
          </w:tcPr>
          <w:p w14:paraId="0973E3DC">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投标报价分析</w:t>
            </w:r>
          </w:p>
          <w:p w14:paraId="37433C0C">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1.不平衡报价分析；</w:t>
            </w:r>
          </w:p>
          <w:p w14:paraId="5F697954">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2.不平衡报价应对策略；</w:t>
            </w:r>
          </w:p>
          <w:p w14:paraId="46DB7DCA">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3.经济指标分析；</w:t>
            </w:r>
          </w:p>
          <w:p w14:paraId="3E2A7C4D">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4.人材机消耗量分析；</w:t>
            </w:r>
          </w:p>
          <w:p w14:paraId="2C631B11">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5.总承包施工合同的人工及材料调差分析。</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6B0FA940">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49BCC6B7">
            <w:pPr>
              <w:pageBreakBefore w:val="0"/>
              <w:widowControl/>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《不平衡报价分析报告》</w:t>
            </w:r>
          </w:p>
          <w:p w14:paraId="1688C826">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《经济指标分析表》</w:t>
            </w:r>
          </w:p>
          <w:p w14:paraId="72208975">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《人材机消耗量分析》</w:t>
            </w:r>
          </w:p>
          <w:p w14:paraId="12F912EF">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《总承包施工合同的人工及材料调差分析》</w:t>
            </w:r>
          </w:p>
        </w:tc>
      </w:tr>
      <w:permEnd w:id="114"/>
      <w:permEnd w:id="115"/>
      <w:permEnd w:id="116"/>
      <w:permEnd w:id="117"/>
      <w:tr w14:paraId="6FCA285B">
        <w:tblPrEx>
          <w:tblCellMar>
            <w:top w:w="0" w:type="dxa"/>
            <w:left w:w="108" w:type="dxa"/>
            <w:bottom w:w="0" w:type="dxa"/>
            <w:right w:w="108" w:type="dxa"/>
          </w:tblCellMar>
        </w:tblPrEx>
        <w:trPr>
          <w:trHeight w:val="285" w:hRule="atLeast"/>
          <w:jc w:val="center"/>
        </w:trPr>
        <w:tc>
          <w:tcPr>
            <w:tcW w:w="1633" w:type="dxa"/>
            <w:vMerge w:val="restart"/>
            <w:tcBorders>
              <w:top w:val="single" w:color="auto" w:sz="4" w:space="0"/>
              <w:left w:val="single" w:color="auto" w:sz="4" w:space="0"/>
              <w:right w:val="single" w:color="auto" w:sz="4" w:space="0"/>
            </w:tcBorders>
            <w:noWrap w:val="0"/>
            <w:vAlign w:val="center"/>
          </w:tcPr>
          <w:p w14:paraId="193F461D">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18" w:edGrp="everyone" w:colFirst="0" w:colLast="0"/>
            <w:permStart w:id="119" w:edGrp="everyone" w:colFirst="1" w:colLast="1"/>
            <w:permStart w:id="120" w:edGrp="everyone" w:colFirst="2" w:colLast="2"/>
            <w:permStart w:id="121" w:edGrp="everyone" w:colFirst="3" w:colLast="3"/>
            <w:r>
              <w:rPr>
                <w:rFonts w:hint="eastAsia" w:ascii="仿宋_GB2312" w:hAnsi="仿宋_GB2312" w:eastAsia="仿宋_GB2312" w:cs="仿宋_GB2312"/>
                <w:color w:val="000000"/>
                <w:kern w:val="0"/>
                <w:sz w:val="32"/>
                <w:szCs w:val="32"/>
                <w:highlight w:val="none"/>
                <w:shd w:val="clear" w:color="auto" w:fill="auto"/>
              </w:rPr>
              <w:t>其它</w:t>
            </w:r>
          </w:p>
        </w:tc>
        <w:tc>
          <w:tcPr>
            <w:tcW w:w="4625" w:type="dxa"/>
            <w:tcBorders>
              <w:top w:val="single" w:color="auto" w:sz="4" w:space="0"/>
              <w:left w:val="single" w:color="auto" w:sz="4" w:space="0"/>
              <w:bottom w:val="single" w:color="auto" w:sz="4" w:space="0"/>
              <w:right w:val="single" w:color="auto" w:sz="4" w:space="0"/>
            </w:tcBorders>
            <w:noWrap w:val="0"/>
            <w:vAlign w:val="top"/>
          </w:tcPr>
          <w:p w14:paraId="1DA229B1">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c>
          <w:tcPr>
            <w:tcW w:w="3403" w:type="dxa"/>
            <w:tcBorders>
              <w:top w:val="single" w:color="auto" w:sz="4" w:space="0"/>
              <w:left w:val="single" w:color="auto" w:sz="4" w:space="0"/>
              <w:bottom w:val="single" w:color="auto" w:sz="4" w:space="0"/>
              <w:right w:val="single" w:color="auto" w:sz="4" w:space="0"/>
            </w:tcBorders>
            <w:noWrap w:val="0"/>
            <w:vAlign w:val="center"/>
          </w:tcPr>
          <w:p w14:paraId="1E7960E2">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p>
        </w:tc>
        <w:tc>
          <w:tcPr>
            <w:tcW w:w="4788" w:type="dxa"/>
            <w:tcBorders>
              <w:top w:val="single" w:color="auto" w:sz="4" w:space="0"/>
              <w:left w:val="single" w:color="auto" w:sz="4" w:space="0"/>
              <w:bottom w:val="single" w:color="auto" w:sz="4" w:space="0"/>
              <w:right w:val="single" w:color="auto" w:sz="4" w:space="0"/>
            </w:tcBorders>
            <w:noWrap w:val="0"/>
            <w:vAlign w:val="center"/>
          </w:tcPr>
          <w:p w14:paraId="63C88847">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p>
        </w:tc>
      </w:tr>
      <w:permEnd w:id="118"/>
      <w:permEnd w:id="119"/>
      <w:permEnd w:id="120"/>
      <w:permEnd w:id="121"/>
      <w:tr w14:paraId="1FAA9235">
        <w:tblPrEx>
          <w:tblCellMar>
            <w:top w:w="0" w:type="dxa"/>
            <w:left w:w="108" w:type="dxa"/>
            <w:bottom w:w="0" w:type="dxa"/>
            <w:right w:w="108" w:type="dxa"/>
          </w:tblCellMar>
        </w:tblPrEx>
        <w:trPr>
          <w:trHeight w:val="338" w:hRule="atLeast"/>
          <w:jc w:val="center"/>
        </w:trPr>
        <w:tc>
          <w:tcPr>
            <w:tcW w:w="1633" w:type="dxa"/>
            <w:vMerge w:val="continue"/>
            <w:tcBorders>
              <w:left w:val="single" w:color="auto" w:sz="4" w:space="0"/>
              <w:right w:val="single" w:color="auto" w:sz="4" w:space="0"/>
            </w:tcBorders>
            <w:noWrap w:val="0"/>
            <w:vAlign w:val="top"/>
          </w:tcPr>
          <w:p w14:paraId="16564AD9">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22" w:edGrp="everyone" w:colFirst="0" w:colLast="0"/>
            <w:permStart w:id="123" w:edGrp="everyone" w:colFirst="1" w:colLast="1"/>
            <w:permStart w:id="124" w:edGrp="everyone" w:colFirst="2" w:colLast="2"/>
            <w:permStart w:id="125" w:edGrp="everyone" w:colFirst="3" w:colLast="3"/>
          </w:p>
        </w:tc>
        <w:tc>
          <w:tcPr>
            <w:tcW w:w="4625" w:type="dxa"/>
            <w:tcBorders>
              <w:top w:val="single" w:color="auto" w:sz="4" w:space="0"/>
              <w:left w:val="single" w:color="auto" w:sz="4" w:space="0"/>
              <w:bottom w:val="single" w:color="auto" w:sz="4" w:space="0"/>
              <w:right w:val="single" w:color="auto" w:sz="4" w:space="0"/>
            </w:tcBorders>
            <w:noWrap w:val="0"/>
            <w:vAlign w:val="top"/>
          </w:tcPr>
          <w:p w14:paraId="7F250B1F">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项目经济后评价</w:t>
            </w:r>
          </w:p>
          <w:p w14:paraId="1AACD017">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（协助发包人完成该项目成本数据库的建立</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配合项目后评估工作</w:t>
            </w:r>
            <w:r>
              <w:rPr>
                <w:rFonts w:hint="eastAsia" w:ascii="仿宋_GB2312" w:hAnsi="仿宋_GB2312" w:eastAsia="仿宋_GB2312" w:cs="仿宋_GB2312"/>
                <w:color w:val="000000"/>
                <w:sz w:val="32"/>
                <w:szCs w:val="32"/>
                <w:highlight w:val="none"/>
                <w:shd w:val="clear" w:color="auto" w:fill="auto"/>
              </w:rPr>
              <w:t>）</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047CE465">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16204DAE">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r>
      <w:permEnd w:id="122"/>
      <w:permEnd w:id="123"/>
      <w:permEnd w:id="124"/>
      <w:permEnd w:id="125"/>
      <w:tr w14:paraId="1FE57054">
        <w:tblPrEx>
          <w:tblCellMar>
            <w:top w:w="0" w:type="dxa"/>
            <w:left w:w="108" w:type="dxa"/>
            <w:bottom w:w="0" w:type="dxa"/>
            <w:right w:w="108" w:type="dxa"/>
          </w:tblCellMar>
        </w:tblPrEx>
        <w:trPr>
          <w:trHeight w:val="285" w:hRule="atLeast"/>
          <w:jc w:val="center"/>
        </w:trPr>
        <w:tc>
          <w:tcPr>
            <w:tcW w:w="1633" w:type="dxa"/>
            <w:vMerge w:val="continue"/>
            <w:tcBorders>
              <w:left w:val="single" w:color="auto" w:sz="4" w:space="0"/>
              <w:right w:val="single" w:color="auto" w:sz="4" w:space="0"/>
            </w:tcBorders>
            <w:noWrap w:val="0"/>
            <w:vAlign w:val="top"/>
          </w:tcPr>
          <w:p w14:paraId="51B18BA9">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26" w:edGrp="everyone" w:colFirst="0" w:colLast="0"/>
            <w:permStart w:id="127" w:edGrp="everyone" w:colFirst="1" w:colLast="1"/>
            <w:permStart w:id="128" w:edGrp="everyone" w:colFirst="2" w:colLast="2"/>
            <w:permStart w:id="129" w:edGrp="everyone" w:colFirst="3" w:colLast="3"/>
          </w:p>
        </w:tc>
        <w:tc>
          <w:tcPr>
            <w:tcW w:w="4625" w:type="dxa"/>
            <w:tcBorders>
              <w:top w:val="single" w:color="auto" w:sz="4" w:space="0"/>
              <w:left w:val="single" w:color="auto" w:sz="4" w:space="0"/>
              <w:bottom w:val="single" w:color="auto" w:sz="4" w:space="0"/>
              <w:right w:val="single" w:color="auto" w:sz="4" w:space="0"/>
            </w:tcBorders>
            <w:noWrap w:val="0"/>
            <w:vAlign w:val="top"/>
          </w:tcPr>
          <w:p w14:paraId="25479E5D">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配合项目审计</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75CEBEB1">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0BFC1FA">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r>
      <w:permEnd w:id="126"/>
      <w:permEnd w:id="127"/>
      <w:permEnd w:id="128"/>
      <w:permEnd w:id="129"/>
      <w:tr w14:paraId="57FD6C56">
        <w:tblPrEx>
          <w:tblCellMar>
            <w:top w:w="0" w:type="dxa"/>
            <w:left w:w="108" w:type="dxa"/>
            <w:bottom w:w="0" w:type="dxa"/>
            <w:right w:w="108" w:type="dxa"/>
          </w:tblCellMar>
        </w:tblPrEx>
        <w:trPr>
          <w:trHeight w:val="285" w:hRule="atLeast"/>
          <w:jc w:val="center"/>
        </w:trPr>
        <w:tc>
          <w:tcPr>
            <w:tcW w:w="1633" w:type="dxa"/>
            <w:vMerge w:val="continue"/>
            <w:tcBorders>
              <w:left w:val="single" w:color="auto" w:sz="4" w:space="0"/>
              <w:right w:val="single" w:color="auto" w:sz="4" w:space="0"/>
            </w:tcBorders>
            <w:noWrap w:val="0"/>
            <w:vAlign w:val="top"/>
          </w:tcPr>
          <w:p w14:paraId="6CF6314F">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30" w:edGrp="everyone" w:colFirst="0" w:colLast="0"/>
            <w:permStart w:id="131" w:edGrp="everyone" w:colFirst="1" w:colLast="1"/>
            <w:permStart w:id="132" w:edGrp="everyone" w:colFirst="2" w:colLast="2"/>
            <w:permStart w:id="133" w:edGrp="everyone" w:colFirst="3" w:colLast="3"/>
          </w:p>
        </w:tc>
        <w:tc>
          <w:tcPr>
            <w:tcW w:w="4625" w:type="dxa"/>
            <w:tcBorders>
              <w:top w:val="single" w:color="auto" w:sz="4" w:space="0"/>
              <w:left w:val="single" w:color="auto" w:sz="4" w:space="0"/>
              <w:bottom w:val="single" w:color="auto" w:sz="4" w:space="0"/>
              <w:right w:val="single" w:color="auto" w:sz="4" w:space="0"/>
            </w:tcBorders>
            <w:noWrap w:val="0"/>
            <w:vAlign w:val="top"/>
          </w:tcPr>
          <w:p w14:paraId="5A14BA67">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lang w:eastAsia="zh-CN"/>
              </w:rPr>
            </w:pPr>
            <w:r>
              <w:rPr>
                <w:rFonts w:hint="eastAsia" w:ascii="仿宋_GB2312" w:hAnsi="仿宋_GB2312" w:eastAsia="仿宋_GB2312" w:cs="仿宋_GB2312"/>
                <w:color w:val="000000"/>
                <w:sz w:val="32"/>
                <w:szCs w:val="32"/>
                <w:highlight w:val="none"/>
                <w:shd w:val="clear" w:color="auto" w:fill="auto"/>
              </w:rPr>
              <w:t>方案比选测算</w:t>
            </w:r>
            <w:r>
              <w:rPr>
                <w:rFonts w:hint="eastAsia" w:ascii="仿宋_GB2312" w:hAnsi="仿宋_GB2312" w:eastAsia="仿宋_GB2312" w:cs="仿宋_GB2312"/>
                <w:color w:val="000000"/>
                <w:sz w:val="32"/>
                <w:szCs w:val="32"/>
                <w:highlight w:val="none"/>
                <w:shd w:val="clear" w:color="auto" w:fill="auto"/>
                <w:lang w:eastAsia="zh-CN"/>
              </w:rPr>
              <w:t>（</w:t>
            </w:r>
            <w:r>
              <w:rPr>
                <w:rFonts w:hint="eastAsia" w:ascii="仿宋_GB2312" w:hAnsi="仿宋_GB2312" w:eastAsia="仿宋_GB2312" w:cs="仿宋_GB2312"/>
                <w:color w:val="000000"/>
                <w:sz w:val="32"/>
                <w:szCs w:val="32"/>
                <w:highlight w:val="none"/>
                <w:shd w:val="clear" w:color="auto" w:fill="auto"/>
                <w:lang w:val="en-US" w:eastAsia="zh-CN"/>
              </w:rPr>
              <w:t>如有</w:t>
            </w:r>
            <w:r>
              <w:rPr>
                <w:rFonts w:hint="eastAsia" w:ascii="仿宋_GB2312" w:hAnsi="仿宋_GB2312" w:eastAsia="仿宋_GB2312" w:cs="仿宋_GB2312"/>
                <w:color w:val="000000"/>
                <w:sz w:val="32"/>
                <w:szCs w:val="32"/>
                <w:highlight w:val="none"/>
                <w:shd w:val="clear" w:color="auto" w:fill="auto"/>
                <w:lang w:eastAsia="zh-CN"/>
              </w:rPr>
              <w:t>）</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50E0A4E3">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18E681E3">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r>
      <w:permEnd w:id="130"/>
      <w:permEnd w:id="131"/>
      <w:permEnd w:id="132"/>
      <w:permEnd w:id="133"/>
      <w:tr w14:paraId="7EB11E79">
        <w:tblPrEx>
          <w:tblCellMar>
            <w:top w:w="0" w:type="dxa"/>
            <w:left w:w="108" w:type="dxa"/>
            <w:bottom w:w="0" w:type="dxa"/>
            <w:right w:w="108" w:type="dxa"/>
          </w:tblCellMar>
        </w:tblPrEx>
        <w:trPr>
          <w:trHeight w:val="285" w:hRule="atLeast"/>
          <w:jc w:val="center"/>
        </w:trPr>
        <w:tc>
          <w:tcPr>
            <w:tcW w:w="1633" w:type="dxa"/>
            <w:vMerge w:val="continue"/>
            <w:tcBorders>
              <w:left w:val="single" w:color="auto" w:sz="4" w:space="0"/>
              <w:bottom w:val="single" w:color="auto" w:sz="4" w:space="0"/>
              <w:right w:val="single" w:color="auto" w:sz="4" w:space="0"/>
            </w:tcBorders>
            <w:noWrap w:val="0"/>
            <w:vAlign w:val="top"/>
          </w:tcPr>
          <w:p w14:paraId="24B129AA">
            <w:pPr>
              <w:pageBreakBefore w:val="0"/>
              <w:widowControl/>
              <w:kinsoku/>
              <w:wordWrap/>
              <w:overflowPunct/>
              <w:topLinePunct w:val="0"/>
              <w:bidi w:val="0"/>
              <w:spacing w:line="560" w:lineRule="exact"/>
              <w:jc w:val="center"/>
              <w:textAlignment w:val="auto"/>
              <w:rPr>
                <w:rFonts w:hint="eastAsia" w:ascii="仿宋_GB2312" w:hAnsi="仿宋_GB2312" w:eastAsia="仿宋_GB2312" w:cs="仿宋_GB2312"/>
                <w:color w:val="000000"/>
                <w:kern w:val="0"/>
                <w:sz w:val="32"/>
                <w:szCs w:val="32"/>
                <w:highlight w:val="none"/>
                <w:shd w:val="clear" w:color="auto" w:fill="auto"/>
              </w:rPr>
            </w:pPr>
            <w:permStart w:id="134" w:edGrp="everyone" w:colFirst="0" w:colLast="0"/>
            <w:permStart w:id="135" w:edGrp="everyone" w:colFirst="1" w:colLast="1"/>
            <w:permStart w:id="136" w:edGrp="everyone" w:colFirst="2" w:colLast="2"/>
            <w:permStart w:id="137" w:edGrp="everyone" w:colFirst="3" w:colLast="3"/>
          </w:p>
        </w:tc>
        <w:tc>
          <w:tcPr>
            <w:tcW w:w="4625" w:type="dxa"/>
            <w:tcBorders>
              <w:top w:val="single" w:color="auto" w:sz="4" w:space="0"/>
              <w:left w:val="single" w:color="auto" w:sz="4" w:space="0"/>
              <w:bottom w:val="single" w:color="auto" w:sz="4" w:space="0"/>
              <w:right w:val="single" w:color="auto" w:sz="4" w:space="0"/>
            </w:tcBorders>
            <w:noWrap w:val="0"/>
            <w:vAlign w:val="top"/>
          </w:tcPr>
          <w:p w14:paraId="02A72EC5">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应委托人要求</w:t>
            </w:r>
          </w:p>
        </w:tc>
        <w:tc>
          <w:tcPr>
            <w:tcW w:w="3403" w:type="dxa"/>
            <w:tcBorders>
              <w:top w:val="single" w:color="auto" w:sz="4" w:space="0"/>
              <w:left w:val="single" w:color="auto" w:sz="4" w:space="0"/>
              <w:bottom w:val="single" w:color="auto" w:sz="4" w:space="0"/>
              <w:right w:val="single" w:color="auto" w:sz="4" w:space="0"/>
            </w:tcBorders>
            <w:noWrap w:val="0"/>
            <w:vAlign w:val="center"/>
          </w:tcPr>
          <w:p w14:paraId="1F84CEFE">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c>
          <w:tcPr>
            <w:tcW w:w="4788" w:type="dxa"/>
            <w:tcBorders>
              <w:top w:val="single" w:color="auto" w:sz="4" w:space="0"/>
              <w:left w:val="single" w:color="auto" w:sz="4" w:space="0"/>
              <w:bottom w:val="single" w:color="auto" w:sz="4" w:space="0"/>
              <w:right w:val="single" w:color="auto" w:sz="4" w:space="0"/>
            </w:tcBorders>
            <w:noWrap w:val="0"/>
            <w:vAlign w:val="center"/>
          </w:tcPr>
          <w:p w14:paraId="0131ADA5">
            <w:pPr>
              <w:pageBreakBefore w:val="0"/>
              <w:widowControl/>
              <w:kinsoku/>
              <w:wordWrap/>
              <w:overflowPunct/>
              <w:topLinePunct w:val="0"/>
              <w:bidi w:val="0"/>
              <w:spacing w:line="560" w:lineRule="exact"/>
              <w:textAlignment w:val="auto"/>
              <w:rPr>
                <w:rFonts w:hint="eastAsia" w:ascii="仿宋_GB2312" w:hAnsi="仿宋_GB2312" w:eastAsia="仿宋_GB2312" w:cs="仿宋_GB2312"/>
                <w:color w:val="000000"/>
                <w:kern w:val="0"/>
                <w:sz w:val="32"/>
                <w:szCs w:val="32"/>
                <w:highlight w:val="none"/>
                <w:shd w:val="clear" w:color="auto" w:fill="auto"/>
              </w:rPr>
            </w:pPr>
            <w:r>
              <w:rPr>
                <w:rFonts w:hint="eastAsia" w:ascii="仿宋_GB2312" w:hAnsi="仿宋_GB2312" w:eastAsia="仿宋_GB2312" w:cs="仿宋_GB2312"/>
                <w:color w:val="000000"/>
                <w:kern w:val="0"/>
                <w:sz w:val="32"/>
                <w:szCs w:val="32"/>
                <w:highlight w:val="none"/>
                <w:shd w:val="clear" w:color="auto" w:fill="auto"/>
              </w:rPr>
              <w:t>按委托人单独委托单要求</w:t>
            </w:r>
          </w:p>
        </w:tc>
      </w:tr>
      <w:permEnd w:id="134"/>
      <w:permEnd w:id="135"/>
      <w:permEnd w:id="136"/>
      <w:permEnd w:id="137"/>
    </w:tbl>
    <w:p w14:paraId="7C2EBDFF">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注意：不同项目完成时间栏可随项目体量大小及工作量适当调整</w:t>
      </w:r>
    </w:p>
    <w:p w14:paraId="23CD6C97">
      <w:pPr>
        <w:pStyle w:val="11"/>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sectPr>
          <w:pgSz w:w="16838" w:h="11906" w:orient="landscape"/>
          <w:pgMar w:top="1803" w:right="1440" w:bottom="1803" w:left="1440" w:header="851" w:footer="992" w:gutter="0"/>
          <w:pgNumType w:fmt="decimal"/>
          <w:cols w:space="720" w:num="1"/>
          <w:docGrid w:linePitch="312" w:charSpace="0"/>
        </w:sectPr>
      </w:pPr>
    </w:p>
    <w:p w14:paraId="534040C6">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rPr>
      </w:pPr>
      <w:permStart w:id="138" w:edGrp="everyone"/>
      <w:r>
        <w:rPr>
          <w:rFonts w:hint="eastAsia" w:ascii="仿宋_GB2312" w:hAnsi="仿宋_GB2312" w:eastAsia="仿宋_GB2312" w:cs="仿宋_GB2312"/>
          <w:color w:val="000000"/>
          <w:sz w:val="32"/>
          <w:szCs w:val="32"/>
          <w:highlight w:val="none"/>
          <w:shd w:val="clear" w:color="auto" w:fill="auto"/>
        </w:rPr>
        <w:t>造价咨询服务内容</w:t>
      </w:r>
    </w:p>
    <w:p w14:paraId="48172617">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 造价咨询服务全过程要求，包括但不限于：</w:t>
      </w:r>
    </w:p>
    <w:p w14:paraId="0D305AB8">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1.1.1 出席会议：根据委托人需要，出席和成本控制、造价咨询服务有关之设计会议、工程会议、成本会议，并提出成本控制相关建议及方案。</w:t>
      </w:r>
    </w:p>
    <w:p w14:paraId="77466791">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1.1.2 市场调研：根据项目需要，及时进行市场调研工作，并收集相关信息资料，包括但不限于：</w:t>
      </w:r>
    </w:p>
    <w:p w14:paraId="111800F1">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 对当地有关工程造价的法律环境进行调研，包括对地方政府的方针、政策和各种法令、条例等可能影响工程造价的诸因素之调研；</w:t>
      </w:r>
    </w:p>
    <w:p w14:paraId="0F7CDE8B">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 工程造价行情调研，包括向当地施工单位及</w:t>
      </w:r>
      <w:r>
        <w:rPr>
          <w:rFonts w:hint="eastAsia" w:ascii="仿宋_GB2312" w:hAnsi="仿宋_GB2312" w:eastAsia="仿宋_GB2312" w:cs="仿宋_GB2312"/>
          <w:color w:val="000000"/>
          <w:sz w:val="32"/>
          <w:szCs w:val="32"/>
          <w:highlight w:val="none"/>
          <w:shd w:val="clear" w:color="auto" w:fill="auto"/>
          <w:lang w:val="en-US" w:eastAsia="zh-CN"/>
        </w:rPr>
        <w:t>咨询人</w:t>
      </w:r>
      <w:r>
        <w:rPr>
          <w:rFonts w:hint="eastAsia" w:ascii="仿宋_GB2312" w:hAnsi="仿宋_GB2312" w:eastAsia="仿宋_GB2312" w:cs="仿宋_GB2312"/>
          <w:color w:val="000000"/>
          <w:sz w:val="32"/>
          <w:szCs w:val="32"/>
          <w:highlight w:val="none"/>
          <w:shd w:val="clear" w:color="auto" w:fill="auto"/>
        </w:rPr>
        <w:t>的询价、了解同类工程造价水平、材料及劳务市场的价格调查等。</w:t>
      </w:r>
    </w:p>
    <w:p w14:paraId="2010BB71">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1.1.3 在提供服务的过程中按实际需要调整，配合项目之发展计划及满足委托人之要求。</w:t>
      </w:r>
    </w:p>
    <w:p w14:paraId="7B514F68">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1.1.4 按委托人要求，全面贯彻执行委托人成本工作规范，包括但不限于委托人指定的成本划分口径、委托人视工程情况给定的招标文件及合同文件、成本后评估报告范本等。</w:t>
      </w:r>
    </w:p>
    <w:p w14:paraId="4239FCA6">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1.1.5 在成本控制方面主动提醒委托人注意相关问题，并提供合理降低工程成本之方案。</w:t>
      </w:r>
    </w:p>
    <w:p w14:paraId="67DCCF98">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1.2 造价咨询服务阶段性要求，包括但不限于：</w:t>
      </w:r>
    </w:p>
    <w:p w14:paraId="16B7E065">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1.2.1方案设计阶段</w:t>
      </w:r>
    </w:p>
    <w:p w14:paraId="65C28E29">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 提供类似项目的建筑标准及参考造价供委托人参考，配合委托人修改、确定建筑标准。</w:t>
      </w:r>
    </w:p>
    <w:p w14:paraId="0C335FC5">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 为各方案编制方案设计估算，分析各方案对工程造价的影响，并提交全面分析报告，提出成本优化建议。若方案设计估算超出规划设计估算，咨询人应于报告中分析偏差原因，提出造价减省建议方案。</w:t>
      </w:r>
    </w:p>
    <w:p w14:paraId="4EF51C8A">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3) 当设计单位调整、优化此阶段方案后，咨询人应及时调整估算，按需提交分析报告，提出成本优化建议，直至此阶段最终方案之设计造价满足委托人成本控制要求。</w:t>
      </w:r>
    </w:p>
    <w:p w14:paraId="783777B5">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4) 根据最终确定的方案，制定控制造价的指标，供委托人实施限额设计。指标项包括但不限于钢筋、混凝土、模板等。</w:t>
      </w:r>
    </w:p>
    <w:p w14:paraId="5E69FBA5">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1.2.2施工图设计及招标阶段</w:t>
      </w:r>
    </w:p>
    <w:p w14:paraId="4F1A2289">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 协助委托人制定合理的合同分判方案、工程界面划分、招标方式、合同模式、招标工作计划等。</w:t>
      </w:r>
    </w:p>
    <w:p w14:paraId="1B309E5B">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 配合施工图设计</w:t>
      </w:r>
    </w:p>
    <w:p w14:paraId="3F25DBFD">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a) 针对各分项工程提出满足招标要求的施工图设计深度要求，作为施工图设计招标及施工图审图的依据。</w:t>
      </w:r>
    </w:p>
    <w:p w14:paraId="72052122">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b) 审核各分项工程之施工图是否将设计造价控制在扩初设计概算内。若发现设计造价超出扩初设计概算，咨询人应及时提交书面报告，分析偏差原因，提出造价减省建议。</w:t>
      </w:r>
    </w:p>
    <w:p w14:paraId="4651690C">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c) 审核施工图是否达到招标所需的深度，检查图纸的可报价性，并书面提出其中存在的图纸疑问。</w:t>
      </w:r>
    </w:p>
    <w:p w14:paraId="61003588">
      <w:pPr>
        <w:pageBreakBefore w:val="0"/>
        <w:kinsoku/>
        <w:wordWrap/>
        <w:overflowPunct/>
        <w:topLinePunct w:val="0"/>
        <w:bidi w:val="0"/>
        <w:spacing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d) 当设计单位更新此阶段的图纸版本后，咨询人应重复上述工作，直至此阶段最终图纸之设计造价满足委托人成本控制要求。</w:t>
      </w:r>
    </w:p>
    <w:p w14:paraId="23234679">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sectPr>
          <w:pgSz w:w="11906" w:h="16838"/>
          <w:pgMar w:top="1440" w:right="1803" w:bottom="1440" w:left="1803" w:header="851" w:footer="992" w:gutter="0"/>
          <w:pgNumType w:fmt="decimal"/>
          <w:cols w:space="720" w:num="1"/>
          <w:docGrid w:linePitch="312" w:charSpace="0"/>
        </w:sectPr>
      </w:pPr>
    </w:p>
    <w:permEnd w:id="138"/>
    <w:p w14:paraId="6564F8F8">
      <w:pPr>
        <w:pStyle w:val="2"/>
        <w:pageBreakBefore w:val="0"/>
        <w:kinsoku/>
        <w:wordWrap/>
        <w:overflowPunct/>
        <w:topLinePunct w:val="0"/>
        <w:bidi w:val="0"/>
        <w:spacing w:before="120" w:after="240" w:line="560" w:lineRule="exact"/>
        <w:textAlignment w:val="auto"/>
        <w:rPr>
          <w:rFonts w:hint="eastAsia" w:ascii="仿宋_GB2312" w:hAnsi="仿宋_GB2312" w:eastAsia="仿宋_GB2312" w:cs="仿宋_GB2312"/>
          <w:color w:val="000000"/>
          <w:sz w:val="32"/>
          <w:szCs w:val="32"/>
          <w:highlight w:val="none"/>
          <w:shd w:val="clear" w:color="auto" w:fill="auto"/>
        </w:rPr>
      </w:pPr>
      <w:bookmarkStart w:id="161" w:name="_Toc422322558"/>
      <w:bookmarkStart w:id="162" w:name="_Toc419045127"/>
      <w:bookmarkStart w:id="163" w:name="_Toc8556"/>
      <w:bookmarkStart w:id="164" w:name="_Toc16851"/>
      <w:bookmarkStart w:id="165" w:name="_Toc17837"/>
      <w:r>
        <w:rPr>
          <w:rFonts w:hint="eastAsia" w:ascii="仿宋_GB2312" w:hAnsi="仿宋_GB2312" w:eastAsia="仿宋_GB2312" w:cs="仿宋_GB2312"/>
          <w:color w:val="000000"/>
          <w:sz w:val="32"/>
          <w:szCs w:val="32"/>
          <w:highlight w:val="none"/>
          <w:shd w:val="clear" w:color="auto" w:fill="auto"/>
        </w:rPr>
        <w:t>附录B 咨询人提交成果文件一览表</w:t>
      </w:r>
      <w:bookmarkEnd w:id="161"/>
      <w:bookmarkEnd w:id="162"/>
      <w:bookmarkEnd w:id="163"/>
      <w:bookmarkEnd w:id="164"/>
      <w:bookmarkEnd w:id="165"/>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994"/>
        <w:gridCol w:w="3253"/>
        <w:gridCol w:w="1486"/>
        <w:gridCol w:w="1121"/>
        <w:gridCol w:w="1388"/>
      </w:tblGrid>
      <w:tr w14:paraId="763C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trPr>
        <w:tc>
          <w:tcPr>
            <w:tcW w:w="1497" w:type="dxa"/>
            <w:noWrap w:val="0"/>
            <w:vAlign w:val="center"/>
          </w:tcPr>
          <w:p w14:paraId="09DD2DCD">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permStart w:id="139" w:edGrp="everyone" w:colFirst="0" w:colLast="0"/>
            <w:permStart w:id="140" w:edGrp="everyone" w:colFirst="1" w:colLast="1"/>
            <w:permStart w:id="141" w:edGrp="everyone" w:colFirst="2" w:colLast="2"/>
            <w:permStart w:id="142" w:edGrp="everyone" w:colFirst="3" w:colLast="3"/>
            <w:permStart w:id="143" w:edGrp="everyone" w:colFirst="4" w:colLast="4"/>
            <w:permStart w:id="144" w:edGrp="everyone" w:colFirst="5" w:colLast="5"/>
            <w:r>
              <w:rPr>
                <w:rFonts w:hint="eastAsia" w:ascii="仿宋_GB2312" w:hAnsi="仿宋_GB2312" w:eastAsia="仿宋_GB2312" w:cs="仿宋_GB2312"/>
                <w:bCs/>
                <w:color w:val="000000"/>
                <w:sz w:val="32"/>
                <w:szCs w:val="32"/>
                <w:highlight w:val="none"/>
                <w:shd w:val="clear" w:color="auto" w:fill="auto"/>
              </w:rPr>
              <w:t>服务阶段</w:t>
            </w:r>
          </w:p>
        </w:tc>
        <w:tc>
          <w:tcPr>
            <w:tcW w:w="4994" w:type="dxa"/>
            <w:noWrap w:val="0"/>
            <w:vAlign w:val="center"/>
          </w:tcPr>
          <w:p w14:paraId="248E509A">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成果文件名称</w:t>
            </w:r>
          </w:p>
        </w:tc>
        <w:tc>
          <w:tcPr>
            <w:tcW w:w="3253" w:type="dxa"/>
            <w:noWrap w:val="0"/>
            <w:vAlign w:val="center"/>
          </w:tcPr>
          <w:p w14:paraId="6491159F">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成果文件组成</w:t>
            </w:r>
          </w:p>
        </w:tc>
        <w:tc>
          <w:tcPr>
            <w:tcW w:w="1486" w:type="dxa"/>
            <w:noWrap w:val="0"/>
            <w:vAlign w:val="center"/>
          </w:tcPr>
          <w:p w14:paraId="13B06504">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提交时间</w:t>
            </w:r>
          </w:p>
        </w:tc>
        <w:tc>
          <w:tcPr>
            <w:tcW w:w="1121" w:type="dxa"/>
            <w:noWrap w:val="0"/>
            <w:vAlign w:val="center"/>
          </w:tcPr>
          <w:p w14:paraId="741BF369">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份数</w:t>
            </w:r>
          </w:p>
        </w:tc>
        <w:tc>
          <w:tcPr>
            <w:tcW w:w="1388" w:type="dxa"/>
            <w:noWrap w:val="0"/>
            <w:vAlign w:val="center"/>
          </w:tcPr>
          <w:p w14:paraId="4DDD3BFF">
            <w:pPr>
              <w:pageBreakBefore w:val="0"/>
              <w:kinsoku/>
              <w:wordWrap/>
              <w:overflowPunct/>
              <w:topLinePunct w:val="0"/>
              <w:bidi w:val="0"/>
              <w:spacing w:line="560" w:lineRule="exact"/>
              <w:textAlignment w:val="auto"/>
              <w:rPr>
                <w:rFonts w:hint="eastAsia" w:ascii="仿宋_GB2312" w:hAnsi="仿宋_GB2312" w:eastAsia="仿宋_GB2312" w:cs="仿宋_GB2312"/>
                <w:bCs/>
                <w:color w:val="000000"/>
                <w:sz w:val="32"/>
                <w:szCs w:val="32"/>
                <w:highlight w:val="none"/>
                <w:shd w:val="clear" w:color="auto" w:fill="auto"/>
              </w:rPr>
            </w:pPr>
            <w:r>
              <w:rPr>
                <w:rFonts w:hint="eastAsia" w:ascii="仿宋_GB2312" w:hAnsi="仿宋_GB2312" w:eastAsia="仿宋_GB2312" w:cs="仿宋_GB2312"/>
                <w:bCs/>
                <w:color w:val="000000"/>
                <w:sz w:val="32"/>
                <w:szCs w:val="32"/>
                <w:highlight w:val="none"/>
                <w:shd w:val="clear" w:color="auto" w:fill="auto"/>
              </w:rPr>
              <w:t>质量标准</w:t>
            </w:r>
          </w:p>
        </w:tc>
      </w:tr>
      <w:permEnd w:id="139"/>
      <w:permEnd w:id="140"/>
      <w:permEnd w:id="141"/>
      <w:permEnd w:id="142"/>
      <w:permEnd w:id="143"/>
      <w:permEnd w:id="144"/>
      <w:tr w14:paraId="797E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exact"/>
        </w:trPr>
        <w:tc>
          <w:tcPr>
            <w:tcW w:w="1497" w:type="dxa"/>
            <w:vMerge w:val="restart"/>
            <w:noWrap w:val="0"/>
            <w:vAlign w:val="center"/>
          </w:tcPr>
          <w:p w14:paraId="7D804C0C">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45" w:edGrp="everyone" w:colFirst="0" w:colLast="0"/>
            <w:permStart w:id="146" w:edGrp="everyone" w:colFirst="1" w:colLast="1"/>
            <w:permStart w:id="147" w:edGrp="everyone" w:colFirst="2" w:colLast="2"/>
            <w:permStart w:id="148" w:edGrp="everyone" w:colFirst="3" w:colLast="3"/>
            <w:permStart w:id="149" w:edGrp="everyone" w:colFirst="4" w:colLast="4"/>
            <w:permStart w:id="150" w:edGrp="everyone" w:colFirst="5" w:colLast="5"/>
            <w:r>
              <w:rPr>
                <w:rFonts w:hint="eastAsia" w:ascii="仿宋_GB2312" w:hAnsi="仿宋_GB2312" w:eastAsia="仿宋_GB2312" w:cs="仿宋_GB2312"/>
                <w:bCs/>
                <w:color w:val="000000"/>
                <w:kern w:val="2"/>
                <w:sz w:val="32"/>
                <w:szCs w:val="32"/>
                <w:highlight w:val="none"/>
                <w:shd w:val="clear" w:color="auto" w:fill="auto"/>
                <w:lang w:val="en-US" w:eastAsia="zh-CN" w:bidi="ar-SA"/>
              </w:rPr>
              <w:t>工程量清单及控制价编制</w:t>
            </w:r>
          </w:p>
        </w:tc>
        <w:tc>
          <w:tcPr>
            <w:tcW w:w="4994" w:type="dxa"/>
            <w:noWrap w:val="0"/>
            <w:vAlign w:val="center"/>
          </w:tcPr>
          <w:p w14:paraId="39D1069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lang w:val="en-US" w:eastAsia="zh-CN"/>
              </w:rPr>
            </w:pPr>
          </w:p>
        </w:tc>
        <w:tc>
          <w:tcPr>
            <w:tcW w:w="3253" w:type="dxa"/>
            <w:noWrap w:val="0"/>
            <w:vAlign w:val="center"/>
          </w:tcPr>
          <w:p w14:paraId="5C0B9920">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70B34A97">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34DCF490">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lang w:val="en-US" w:eastAsia="zh-CN"/>
              </w:rPr>
            </w:pPr>
          </w:p>
        </w:tc>
        <w:tc>
          <w:tcPr>
            <w:tcW w:w="1388" w:type="dxa"/>
            <w:noWrap w:val="0"/>
            <w:vAlign w:val="center"/>
          </w:tcPr>
          <w:p w14:paraId="1EE0984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lang w:val="en-US" w:eastAsia="zh-CN"/>
              </w:rPr>
            </w:pPr>
          </w:p>
        </w:tc>
      </w:tr>
      <w:permEnd w:id="145"/>
      <w:permEnd w:id="146"/>
      <w:permEnd w:id="147"/>
      <w:permEnd w:id="148"/>
      <w:permEnd w:id="149"/>
      <w:permEnd w:id="150"/>
      <w:tr w14:paraId="6962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19569C64">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51" w:edGrp="everyone" w:colFirst="0" w:colLast="0"/>
            <w:permStart w:id="152" w:edGrp="everyone" w:colFirst="1" w:colLast="1"/>
            <w:permStart w:id="153" w:edGrp="everyone" w:colFirst="2" w:colLast="2"/>
            <w:permStart w:id="154" w:edGrp="everyone" w:colFirst="3" w:colLast="3"/>
            <w:permStart w:id="155" w:edGrp="everyone" w:colFirst="4" w:colLast="4"/>
            <w:permStart w:id="156" w:edGrp="everyone" w:colFirst="5" w:colLast="5"/>
          </w:p>
        </w:tc>
        <w:tc>
          <w:tcPr>
            <w:tcW w:w="4994" w:type="dxa"/>
            <w:noWrap w:val="0"/>
            <w:vAlign w:val="center"/>
          </w:tcPr>
          <w:p w14:paraId="4330735D">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5ADF4F4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6B5340C1">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6DAA7FF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77931B5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51"/>
      <w:permEnd w:id="152"/>
      <w:permEnd w:id="153"/>
      <w:permEnd w:id="154"/>
      <w:permEnd w:id="155"/>
      <w:permEnd w:id="156"/>
      <w:tr w14:paraId="00F59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exact"/>
        </w:trPr>
        <w:tc>
          <w:tcPr>
            <w:tcW w:w="1497" w:type="dxa"/>
            <w:vMerge w:val="continue"/>
            <w:noWrap w:val="0"/>
            <w:vAlign w:val="center"/>
          </w:tcPr>
          <w:p w14:paraId="0B8ABE9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57" w:edGrp="everyone" w:colFirst="0" w:colLast="0"/>
            <w:permStart w:id="158" w:edGrp="everyone" w:colFirst="1" w:colLast="1"/>
            <w:permStart w:id="159" w:edGrp="everyone" w:colFirst="2" w:colLast="2"/>
            <w:permStart w:id="160" w:edGrp="everyone" w:colFirst="3" w:colLast="3"/>
            <w:permStart w:id="161" w:edGrp="everyone" w:colFirst="4" w:colLast="4"/>
            <w:permStart w:id="162" w:edGrp="everyone" w:colFirst="5" w:colLast="5"/>
          </w:p>
        </w:tc>
        <w:tc>
          <w:tcPr>
            <w:tcW w:w="4994" w:type="dxa"/>
            <w:noWrap w:val="0"/>
            <w:vAlign w:val="center"/>
          </w:tcPr>
          <w:p w14:paraId="097BA10B">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1BE20D7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6BF2CC9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749FF79A">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66763E30">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57"/>
      <w:permEnd w:id="158"/>
      <w:permEnd w:id="159"/>
      <w:permEnd w:id="160"/>
      <w:permEnd w:id="161"/>
      <w:permEnd w:id="162"/>
      <w:tr w14:paraId="0DC0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restart"/>
            <w:noWrap w:val="0"/>
            <w:vAlign w:val="center"/>
          </w:tcPr>
          <w:p w14:paraId="0911CFCB">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63" w:edGrp="everyone" w:colFirst="0" w:colLast="0"/>
            <w:permStart w:id="164" w:edGrp="everyone" w:colFirst="1" w:colLast="1"/>
            <w:permStart w:id="165" w:edGrp="everyone" w:colFirst="2" w:colLast="2"/>
            <w:permStart w:id="166" w:edGrp="everyone" w:colFirst="3" w:colLast="3"/>
            <w:permStart w:id="167" w:edGrp="everyone" w:colFirst="4" w:colLast="4"/>
            <w:permStart w:id="168" w:edGrp="everyone" w:colFirst="5" w:colLast="5"/>
          </w:p>
        </w:tc>
        <w:tc>
          <w:tcPr>
            <w:tcW w:w="4994" w:type="dxa"/>
            <w:noWrap w:val="0"/>
            <w:vAlign w:val="center"/>
          </w:tcPr>
          <w:p w14:paraId="21B6A74F">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12BA7DE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26C65A4E">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7E7B4AAA">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72D2A760">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63"/>
      <w:permEnd w:id="164"/>
      <w:permEnd w:id="165"/>
      <w:permEnd w:id="166"/>
      <w:permEnd w:id="167"/>
      <w:permEnd w:id="168"/>
      <w:tr w14:paraId="356E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2C3CB5B1">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69" w:edGrp="everyone" w:colFirst="0" w:colLast="0"/>
            <w:permStart w:id="170" w:edGrp="everyone" w:colFirst="1" w:colLast="1"/>
            <w:permStart w:id="171" w:edGrp="everyone" w:colFirst="2" w:colLast="2"/>
            <w:permStart w:id="172" w:edGrp="everyone" w:colFirst="3" w:colLast="3"/>
            <w:permStart w:id="173" w:edGrp="everyone" w:colFirst="4" w:colLast="4"/>
            <w:permStart w:id="174" w:edGrp="everyone" w:colFirst="5" w:colLast="5"/>
          </w:p>
        </w:tc>
        <w:tc>
          <w:tcPr>
            <w:tcW w:w="4994" w:type="dxa"/>
            <w:noWrap w:val="0"/>
            <w:vAlign w:val="center"/>
          </w:tcPr>
          <w:p w14:paraId="3D7AB58D">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53E1990D">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08337316">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17865A46">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23480F87">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69"/>
      <w:permEnd w:id="170"/>
      <w:permEnd w:id="171"/>
      <w:permEnd w:id="172"/>
      <w:permEnd w:id="173"/>
      <w:permEnd w:id="174"/>
      <w:tr w14:paraId="1C77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66160D0F">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75" w:edGrp="everyone" w:colFirst="0" w:colLast="0"/>
            <w:permStart w:id="176" w:edGrp="everyone" w:colFirst="1" w:colLast="1"/>
            <w:permStart w:id="177" w:edGrp="everyone" w:colFirst="2" w:colLast="2"/>
            <w:permStart w:id="178" w:edGrp="everyone" w:colFirst="3" w:colLast="3"/>
            <w:permStart w:id="179" w:edGrp="everyone" w:colFirst="4" w:colLast="4"/>
            <w:permStart w:id="180" w:edGrp="everyone" w:colFirst="5" w:colLast="5"/>
          </w:p>
        </w:tc>
        <w:tc>
          <w:tcPr>
            <w:tcW w:w="4994" w:type="dxa"/>
            <w:noWrap w:val="0"/>
            <w:vAlign w:val="center"/>
          </w:tcPr>
          <w:p w14:paraId="32303459">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5A426D74">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5CDC3F66">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4FD8F01F">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72DDED28">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75"/>
      <w:permEnd w:id="176"/>
      <w:permEnd w:id="177"/>
      <w:permEnd w:id="178"/>
      <w:permEnd w:id="179"/>
      <w:permEnd w:id="180"/>
      <w:tr w14:paraId="5FA4B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restart"/>
            <w:noWrap w:val="0"/>
            <w:vAlign w:val="center"/>
          </w:tcPr>
          <w:p w14:paraId="650D1C44">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81" w:edGrp="everyone" w:colFirst="0" w:colLast="0"/>
            <w:permStart w:id="182" w:edGrp="everyone" w:colFirst="1" w:colLast="1"/>
            <w:permStart w:id="183" w:edGrp="everyone" w:colFirst="2" w:colLast="2"/>
            <w:permStart w:id="184" w:edGrp="everyone" w:colFirst="3" w:colLast="3"/>
            <w:permStart w:id="185" w:edGrp="everyone" w:colFirst="4" w:colLast="4"/>
            <w:permStart w:id="186" w:edGrp="everyone" w:colFirst="5" w:colLast="5"/>
          </w:p>
        </w:tc>
        <w:tc>
          <w:tcPr>
            <w:tcW w:w="4994" w:type="dxa"/>
            <w:noWrap w:val="0"/>
            <w:vAlign w:val="center"/>
          </w:tcPr>
          <w:p w14:paraId="7184ADC0">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07020F7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7FC6C58B">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29ADF0CD">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3528B42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81"/>
      <w:permEnd w:id="182"/>
      <w:permEnd w:id="183"/>
      <w:permEnd w:id="184"/>
      <w:permEnd w:id="185"/>
      <w:permEnd w:id="186"/>
      <w:tr w14:paraId="4EF0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2422D0FE">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87" w:edGrp="everyone" w:colFirst="0" w:colLast="0"/>
            <w:permStart w:id="188" w:edGrp="everyone" w:colFirst="1" w:colLast="1"/>
            <w:permStart w:id="189" w:edGrp="everyone" w:colFirst="2" w:colLast="2"/>
            <w:permStart w:id="190" w:edGrp="everyone" w:colFirst="3" w:colLast="3"/>
            <w:permStart w:id="191" w:edGrp="everyone" w:colFirst="4" w:colLast="4"/>
            <w:permStart w:id="192" w:edGrp="everyone" w:colFirst="5" w:colLast="5"/>
          </w:p>
        </w:tc>
        <w:tc>
          <w:tcPr>
            <w:tcW w:w="4994" w:type="dxa"/>
            <w:noWrap w:val="0"/>
            <w:vAlign w:val="center"/>
          </w:tcPr>
          <w:p w14:paraId="51B9E46E">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67383297">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5CE1024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7EEA140E">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42636651">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87"/>
      <w:permEnd w:id="188"/>
      <w:permEnd w:id="189"/>
      <w:permEnd w:id="190"/>
      <w:permEnd w:id="191"/>
      <w:permEnd w:id="192"/>
      <w:tr w14:paraId="0F79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27BA7C12">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93" w:edGrp="everyone" w:colFirst="0" w:colLast="0"/>
            <w:permStart w:id="194" w:edGrp="everyone" w:colFirst="1" w:colLast="1"/>
            <w:permStart w:id="195" w:edGrp="everyone" w:colFirst="2" w:colLast="2"/>
            <w:permStart w:id="196" w:edGrp="everyone" w:colFirst="3" w:colLast="3"/>
            <w:permStart w:id="197" w:edGrp="everyone" w:colFirst="4" w:colLast="4"/>
            <w:permStart w:id="198" w:edGrp="everyone" w:colFirst="5" w:colLast="5"/>
          </w:p>
        </w:tc>
        <w:tc>
          <w:tcPr>
            <w:tcW w:w="4994" w:type="dxa"/>
            <w:noWrap w:val="0"/>
            <w:vAlign w:val="center"/>
          </w:tcPr>
          <w:p w14:paraId="10FC6534">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539AB3CB">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564D5D8C">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72B33FE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6C4ECC48">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93"/>
      <w:permEnd w:id="194"/>
      <w:permEnd w:id="195"/>
      <w:permEnd w:id="196"/>
      <w:permEnd w:id="197"/>
      <w:permEnd w:id="198"/>
      <w:tr w14:paraId="1493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restart"/>
            <w:noWrap w:val="0"/>
            <w:vAlign w:val="center"/>
          </w:tcPr>
          <w:p w14:paraId="6A35989B">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199" w:edGrp="everyone" w:colFirst="0" w:colLast="0"/>
            <w:permStart w:id="200" w:edGrp="everyone" w:colFirst="1" w:colLast="1"/>
            <w:permStart w:id="201" w:edGrp="everyone" w:colFirst="2" w:colLast="2"/>
            <w:permStart w:id="202" w:edGrp="everyone" w:colFirst="3" w:colLast="3"/>
            <w:permStart w:id="203" w:edGrp="everyone" w:colFirst="4" w:colLast="4"/>
            <w:permStart w:id="204" w:edGrp="everyone" w:colFirst="5" w:colLast="5"/>
          </w:p>
        </w:tc>
        <w:tc>
          <w:tcPr>
            <w:tcW w:w="4994" w:type="dxa"/>
            <w:noWrap w:val="0"/>
            <w:vAlign w:val="center"/>
          </w:tcPr>
          <w:p w14:paraId="33BA91AC">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2A426399">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127FD568">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164F5017">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09308E81">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199"/>
      <w:permEnd w:id="200"/>
      <w:permEnd w:id="201"/>
      <w:permEnd w:id="202"/>
      <w:permEnd w:id="203"/>
      <w:permEnd w:id="204"/>
      <w:tr w14:paraId="36B6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5E5BB160">
            <w:pPr>
              <w:pStyle w:val="8"/>
              <w:pageBreakBefore w:val="0"/>
              <w:widowControl w:val="0"/>
              <w:kinsoku/>
              <w:wordWrap/>
              <w:overflowPunct/>
              <w:topLinePunct w:val="0"/>
              <w:bidi w:val="0"/>
              <w:spacing w:before="0" w:beforeAutospacing="0" w:after="0" w:afterAutospacing="0"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205" w:edGrp="everyone" w:colFirst="0" w:colLast="0"/>
            <w:permStart w:id="206" w:edGrp="everyone" w:colFirst="1" w:colLast="1"/>
            <w:permStart w:id="207" w:edGrp="everyone" w:colFirst="2" w:colLast="2"/>
            <w:permStart w:id="208" w:edGrp="everyone" w:colFirst="3" w:colLast="3"/>
            <w:permStart w:id="209" w:edGrp="everyone" w:colFirst="4" w:colLast="4"/>
            <w:permStart w:id="210" w:edGrp="everyone" w:colFirst="5" w:colLast="5"/>
          </w:p>
        </w:tc>
        <w:tc>
          <w:tcPr>
            <w:tcW w:w="4994" w:type="dxa"/>
            <w:noWrap w:val="0"/>
            <w:vAlign w:val="center"/>
          </w:tcPr>
          <w:p w14:paraId="1FDB1031">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4C45629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459E6F72">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2D1E2106">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75541E1A">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205"/>
      <w:permEnd w:id="206"/>
      <w:permEnd w:id="207"/>
      <w:permEnd w:id="208"/>
      <w:permEnd w:id="209"/>
      <w:permEnd w:id="210"/>
      <w:tr w14:paraId="15FC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497" w:type="dxa"/>
            <w:vMerge w:val="continue"/>
            <w:noWrap w:val="0"/>
            <w:vAlign w:val="center"/>
          </w:tcPr>
          <w:p w14:paraId="6CD4BEE6">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ermStart w:id="211" w:edGrp="everyone" w:colFirst="0" w:colLast="0"/>
            <w:permStart w:id="212" w:edGrp="everyone" w:colFirst="1" w:colLast="1"/>
            <w:permStart w:id="213" w:edGrp="everyone" w:colFirst="2" w:colLast="2"/>
            <w:permStart w:id="214" w:edGrp="everyone" w:colFirst="3" w:colLast="3"/>
            <w:permStart w:id="215" w:edGrp="everyone" w:colFirst="4" w:colLast="4"/>
            <w:permStart w:id="216" w:edGrp="everyone" w:colFirst="5" w:colLast="5"/>
          </w:p>
        </w:tc>
        <w:tc>
          <w:tcPr>
            <w:tcW w:w="4994" w:type="dxa"/>
            <w:noWrap w:val="0"/>
            <w:vAlign w:val="center"/>
          </w:tcPr>
          <w:p w14:paraId="7E0E202E">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3253" w:type="dxa"/>
            <w:noWrap w:val="0"/>
            <w:vAlign w:val="center"/>
          </w:tcPr>
          <w:p w14:paraId="71151FAF">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486" w:type="dxa"/>
            <w:noWrap w:val="0"/>
            <w:vAlign w:val="center"/>
          </w:tcPr>
          <w:p w14:paraId="215116C5">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121" w:type="dxa"/>
            <w:noWrap w:val="0"/>
            <w:vAlign w:val="center"/>
          </w:tcPr>
          <w:p w14:paraId="54F81643">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c>
          <w:tcPr>
            <w:tcW w:w="1388" w:type="dxa"/>
            <w:noWrap w:val="0"/>
            <w:vAlign w:val="center"/>
          </w:tcPr>
          <w:p w14:paraId="1E1FD46B">
            <w:pPr>
              <w:pageBreakBefore w:val="0"/>
              <w:kinsoku/>
              <w:wordWrap/>
              <w:overflowPunct/>
              <w:topLinePunct w:val="0"/>
              <w:bidi w:val="0"/>
              <w:spacing w:line="560" w:lineRule="exact"/>
              <w:jc w:val="center"/>
              <w:textAlignment w:val="auto"/>
              <w:rPr>
                <w:rFonts w:hint="eastAsia" w:ascii="仿宋_GB2312" w:hAnsi="仿宋_GB2312" w:eastAsia="仿宋_GB2312" w:cs="仿宋_GB2312"/>
                <w:bCs/>
                <w:color w:val="000000"/>
                <w:sz w:val="32"/>
                <w:szCs w:val="32"/>
                <w:highlight w:val="none"/>
                <w:shd w:val="clear" w:color="auto" w:fill="auto"/>
              </w:rPr>
            </w:pPr>
          </w:p>
        </w:tc>
      </w:tr>
      <w:permEnd w:id="211"/>
      <w:permEnd w:id="212"/>
      <w:permEnd w:id="213"/>
      <w:permEnd w:id="214"/>
      <w:permEnd w:id="215"/>
      <w:permEnd w:id="216"/>
    </w:tbl>
    <w:p w14:paraId="429EBF89">
      <w:pPr>
        <w:pageBreakBefore w:val="0"/>
        <w:kinsoku/>
        <w:wordWrap/>
        <w:overflowPunct/>
        <w:topLinePunct w:val="0"/>
        <w:bidi w:val="0"/>
        <w:spacing w:line="560" w:lineRule="exact"/>
        <w:ind w:firstLine="482"/>
        <w:textAlignment w:val="auto"/>
        <w:rPr>
          <w:rFonts w:hint="eastAsia" w:ascii="仿宋_GB2312" w:hAnsi="仿宋_GB2312" w:eastAsia="仿宋_GB2312" w:cs="仿宋_GB2312"/>
          <w:b/>
          <w:color w:val="000000"/>
          <w:sz w:val="32"/>
          <w:szCs w:val="32"/>
          <w:highlight w:val="none"/>
          <w:shd w:val="clear" w:color="auto" w:fill="auto"/>
        </w:rPr>
        <w:sectPr>
          <w:pgSz w:w="16838" w:h="11906" w:orient="landscape"/>
          <w:pgMar w:top="1803" w:right="1440" w:bottom="1438" w:left="1440" w:header="851" w:footer="992" w:gutter="0"/>
          <w:pgNumType w:fmt="decimal"/>
          <w:cols w:space="720" w:num="1"/>
          <w:docGrid w:linePitch="312" w:charSpace="0"/>
        </w:sectPr>
      </w:pPr>
    </w:p>
    <w:p w14:paraId="1D1D2CAD">
      <w:pPr>
        <w:pStyle w:val="2"/>
        <w:pageBreakBefore w:val="0"/>
        <w:kinsoku/>
        <w:wordWrap/>
        <w:overflowPunct/>
        <w:topLinePunct w:val="0"/>
        <w:bidi w:val="0"/>
        <w:spacing w:before="120" w:after="240" w:line="560" w:lineRule="exact"/>
        <w:ind w:left="420"/>
        <w:textAlignment w:val="auto"/>
        <w:rPr>
          <w:rFonts w:hint="eastAsia" w:ascii="仿宋_GB2312" w:hAnsi="仿宋_GB2312" w:eastAsia="仿宋_GB2312" w:cs="仿宋_GB2312"/>
          <w:color w:val="000000"/>
          <w:sz w:val="32"/>
          <w:szCs w:val="32"/>
          <w:highlight w:val="none"/>
          <w:shd w:val="clear" w:color="auto" w:fill="auto"/>
        </w:rPr>
      </w:pPr>
      <w:bookmarkStart w:id="166" w:name="_Toc11278"/>
      <w:bookmarkStart w:id="167" w:name="_Toc14787"/>
      <w:bookmarkStart w:id="168" w:name="_Toc419045128"/>
      <w:bookmarkStart w:id="169" w:name="_Toc5472"/>
      <w:bookmarkStart w:id="170" w:name="_Toc422322559"/>
      <w:r>
        <w:rPr>
          <w:rFonts w:hint="eastAsia" w:ascii="仿宋_GB2312" w:hAnsi="仿宋_GB2312" w:eastAsia="仿宋_GB2312" w:cs="仿宋_GB2312"/>
          <w:color w:val="000000"/>
          <w:sz w:val="32"/>
          <w:szCs w:val="32"/>
          <w:highlight w:val="none"/>
          <w:shd w:val="clear" w:color="auto" w:fill="auto"/>
        </w:rPr>
        <w:t>附录C　委托人提供资料一览表</w:t>
      </w:r>
      <w:bookmarkEnd w:id="166"/>
      <w:bookmarkEnd w:id="167"/>
      <w:bookmarkEnd w:id="168"/>
      <w:bookmarkEnd w:id="169"/>
      <w:bookmarkEnd w:id="170"/>
      <w:bookmarkStart w:id="171" w:name="_Toc419045129"/>
    </w:p>
    <w:p w14:paraId="7AD10924">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permStart w:id="217" w:edGrp="everyone"/>
      <w:r>
        <w:rPr>
          <w:rFonts w:hint="eastAsia" w:ascii="仿宋_GB2312" w:hAnsi="仿宋_GB2312" w:eastAsia="仿宋_GB2312" w:cs="仿宋_GB2312"/>
          <w:sz w:val="32"/>
          <w:szCs w:val="32"/>
          <w:highlight w:val="none"/>
          <w:shd w:val="clear" w:color="auto" w:fill="auto"/>
        </w:rPr>
        <w:t xml:space="preserve">   </w:t>
      </w:r>
    </w:p>
    <w:permEnd w:id="217"/>
    <w:p w14:paraId="3C3C27FA">
      <w:pPr>
        <w:pStyle w:val="3"/>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sectPr>
          <w:pgSz w:w="11906" w:h="16838"/>
          <w:pgMar w:top="1440" w:right="1800" w:bottom="1440" w:left="1800" w:header="851" w:footer="992" w:gutter="0"/>
          <w:pgNumType w:fmt="decimal"/>
          <w:cols w:space="720" w:num="1"/>
          <w:docGrid w:linePitch="312" w:charSpace="0"/>
        </w:sectPr>
      </w:pPr>
      <w:r>
        <w:rPr>
          <w:rFonts w:hint="eastAsia" w:ascii="仿宋_GB2312" w:hAnsi="仿宋_GB2312" w:eastAsia="仿宋_GB2312" w:cs="仿宋_GB2312"/>
          <w:sz w:val="32"/>
          <w:szCs w:val="32"/>
          <w:highlight w:val="none"/>
          <w:shd w:val="clear" w:color="auto" w:fill="auto"/>
        </w:rPr>
        <w:t xml:space="preserve">     </w:t>
      </w:r>
    </w:p>
    <w:p w14:paraId="0B75A545">
      <w:pPr>
        <w:pStyle w:val="2"/>
        <w:pageBreakBefore w:val="0"/>
        <w:kinsoku/>
        <w:wordWrap/>
        <w:overflowPunct/>
        <w:topLinePunct w:val="0"/>
        <w:bidi w:val="0"/>
        <w:spacing w:before="120" w:after="240" w:line="560" w:lineRule="exact"/>
        <w:ind w:left="420"/>
        <w:textAlignment w:val="auto"/>
        <w:rPr>
          <w:rFonts w:hint="eastAsia" w:ascii="仿宋_GB2312" w:hAnsi="仿宋_GB2312" w:eastAsia="仿宋_GB2312" w:cs="仿宋_GB2312"/>
          <w:color w:val="000000"/>
          <w:sz w:val="32"/>
          <w:szCs w:val="32"/>
          <w:highlight w:val="none"/>
          <w:shd w:val="clear" w:color="auto" w:fill="auto"/>
        </w:rPr>
      </w:pPr>
      <w:bookmarkStart w:id="172" w:name="_Toc23551"/>
      <w:bookmarkStart w:id="173" w:name="_Toc12737"/>
      <w:bookmarkStart w:id="174" w:name="_Toc25776"/>
      <w:bookmarkStart w:id="175" w:name="_Toc422322560"/>
      <w:r>
        <w:rPr>
          <w:rFonts w:hint="eastAsia" w:ascii="仿宋_GB2312" w:hAnsi="仿宋_GB2312" w:eastAsia="仿宋_GB2312" w:cs="仿宋_GB2312"/>
          <w:color w:val="000000"/>
          <w:sz w:val="32"/>
          <w:szCs w:val="32"/>
          <w:highlight w:val="none"/>
          <w:shd w:val="clear" w:color="auto" w:fill="auto"/>
        </w:rPr>
        <w:t>附录D 委托人提供房屋及设备一览表</w:t>
      </w:r>
      <w:bookmarkEnd w:id="171"/>
      <w:bookmarkEnd w:id="172"/>
      <w:bookmarkEnd w:id="173"/>
      <w:bookmarkEnd w:id="174"/>
      <w:bookmarkEnd w:id="175"/>
    </w:p>
    <w:p w14:paraId="5237D0C2">
      <w:pPr>
        <w:pageBreakBefore w:val="0"/>
        <w:kinsoku/>
        <w:wordWrap/>
        <w:overflowPunct/>
        <w:topLinePunct w:val="0"/>
        <w:bidi w:val="0"/>
        <w:spacing w:line="560" w:lineRule="exact"/>
        <w:textAlignment w:val="auto"/>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permStart w:id="218"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
    <w:permEnd w:id="218"/>
    <w:p w14:paraId="52FEB8FA">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00C3E701">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56EB37DF">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49B6CC8E">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2E57CECF">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54104861">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33805323">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038557DB">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1FC30213">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44EEBBCD">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6F9DE763">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1708DCAD">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700CF7EF">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4D1772DC">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49D04EE5">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6CE0EB29">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74A4A30A">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7BD56F21">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77C2F76A">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5CE0CD08">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2CC501F1">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55052F12">
      <w:pPr>
        <w:pStyle w:val="11"/>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p w14:paraId="24ED7F56">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附录E 造价咨询任务委托单</w:t>
      </w:r>
    </w:p>
    <w:p w14:paraId="52CDE9CC">
      <w:pPr>
        <w:pStyle w:val="5"/>
        <w:pageBreakBefore w:val="0"/>
        <w:kinsoku/>
        <w:wordWrap/>
        <w:overflowPunct/>
        <w:topLinePunct w:val="0"/>
        <w:bidi w:val="0"/>
        <w:spacing w:line="560" w:lineRule="exact"/>
        <w:ind w:left="0" w:leftChars="0"/>
        <w:jc w:val="center"/>
        <w:textAlignment w:val="auto"/>
        <w:rPr>
          <w:rFonts w:hint="eastAsia" w:ascii="方正小标宋简体" w:hAnsi="方正小标宋简体" w:eastAsia="方正小标宋简体" w:cs="方正小标宋简体"/>
          <w:b w:val="0"/>
          <w:bCs/>
          <w:sz w:val="44"/>
          <w:szCs w:val="44"/>
          <w:highlight w:val="none"/>
          <w:shd w:val="clear" w:color="auto" w:fill="auto"/>
        </w:rPr>
      </w:pPr>
      <w:r>
        <w:rPr>
          <w:rFonts w:hint="eastAsia" w:ascii="方正小标宋简体" w:hAnsi="方正小标宋简体" w:eastAsia="方正小标宋简体" w:cs="方正小标宋简体"/>
          <w:b w:val="0"/>
          <w:bCs/>
          <w:sz w:val="44"/>
          <w:szCs w:val="44"/>
          <w:highlight w:val="none"/>
          <w:shd w:val="clear" w:color="auto" w:fill="auto"/>
        </w:rPr>
        <w:t>造价咨询任务委托单</w:t>
      </w:r>
    </w:p>
    <w:p w14:paraId="784CA924">
      <w:pPr>
        <w:pageBreakBefore w:val="0"/>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highlight w:val="none"/>
          <w:shd w:val="clear" w:color="auto" w:fill="auto"/>
        </w:rPr>
      </w:pPr>
      <w:permStart w:id="219" w:edGrp="everyone"/>
      <w:r>
        <w:rPr>
          <w:rFonts w:hint="eastAsia" w:ascii="仿宋_GB2312" w:hAnsi="仿宋_GB2312" w:eastAsia="仿宋_GB2312" w:cs="仿宋_GB2312"/>
          <w:sz w:val="32"/>
          <w:szCs w:val="32"/>
          <w:highlight w:val="none"/>
          <w:shd w:val="clear" w:color="auto" w:fill="auto"/>
        </w:rPr>
        <w:t>委托单位：XXXXXXXX公司   咨询单位：</w:t>
      </w:r>
      <w:r>
        <w:rPr>
          <w:rFonts w:hint="eastAsia" w:ascii="仿宋_GB2312" w:hAnsi="仿宋_GB2312" w:eastAsia="仿宋_GB2312" w:cs="仿宋_GB2312"/>
          <w:kern w:val="0"/>
          <w:sz w:val="32"/>
          <w:szCs w:val="32"/>
          <w:highlight w:val="none"/>
          <w:shd w:val="clear" w:color="auto" w:fill="auto"/>
        </w:rPr>
        <w:t>XXXXXXXX有限公司</w:t>
      </w:r>
    </w:p>
    <w:tbl>
      <w:tblPr>
        <w:tblStyle w:val="9"/>
        <w:tblW w:w="8280" w:type="dxa"/>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50"/>
        <w:gridCol w:w="4724"/>
        <w:gridCol w:w="2280"/>
      </w:tblGrid>
      <w:tr w14:paraId="3ABB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000" w:type="dxa"/>
            <w:gridSpan w:val="3"/>
            <w:noWrap w:val="0"/>
            <w:vAlign w:val="center"/>
          </w:tcPr>
          <w:p w14:paraId="53B8EC12">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工程名称： XXXX项目XXXX工程</w:t>
            </w:r>
          </w:p>
        </w:tc>
        <w:tc>
          <w:tcPr>
            <w:tcW w:w="2280" w:type="dxa"/>
            <w:noWrap w:val="0"/>
            <w:vAlign w:val="center"/>
          </w:tcPr>
          <w:p w14:paraId="46A78642">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编号：2023-04-01</w:t>
            </w:r>
          </w:p>
        </w:tc>
      </w:tr>
      <w:tr w14:paraId="40C5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80" w:type="dxa"/>
            <w:gridSpan w:val="4"/>
            <w:noWrap w:val="0"/>
            <w:vAlign w:val="center"/>
          </w:tcPr>
          <w:p w14:paraId="33C481B2">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施工单位：</w:t>
            </w:r>
          </w:p>
        </w:tc>
      </w:tr>
      <w:tr w14:paraId="608C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1026" w:type="dxa"/>
            <w:noWrap w:val="0"/>
            <w:textDirection w:val="tbRlV"/>
            <w:vAlign w:val="center"/>
          </w:tcPr>
          <w:p w14:paraId="618F00D5">
            <w:pPr>
              <w:pageBreakBefore w:val="0"/>
              <w:kinsoku/>
              <w:wordWrap/>
              <w:overflowPunct/>
              <w:topLinePunct w:val="0"/>
              <w:bidi w:val="0"/>
              <w:spacing w:line="560" w:lineRule="exact"/>
              <w:ind w:left="113" w:right="113"/>
              <w:jc w:val="center"/>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工作内容</w:t>
            </w:r>
          </w:p>
        </w:tc>
        <w:tc>
          <w:tcPr>
            <w:tcW w:w="7254" w:type="dxa"/>
            <w:gridSpan w:val="3"/>
            <w:noWrap w:val="0"/>
            <w:vAlign w:val="top"/>
          </w:tcPr>
          <w:p w14:paraId="6B5F44A4">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sym w:font="Wingdings 2" w:char="00A3"/>
            </w:r>
            <w:r>
              <w:rPr>
                <w:rFonts w:hint="eastAsia" w:ascii="仿宋_GB2312" w:hAnsi="仿宋_GB2312" w:eastAsia="仿宋_GB2312" w:cs="仿宋_GB2312"/>
                <w:kern w:val="0"/>
                <w:sz w:val="32"/>
                <w:szCs w:val="32"/>
                <w:highlight w:val="none"/>
                <w:shd w:val="clear" w:color="auto" w:fill="auto"/>
              </w:rPr>
              <w:t xml:space="preserve">控制价/预算编制     </w:t>
            </w:r>
            <w:r>
              <w:rPr>
                <w:rFonts w:hint="eastAsia" w:ascii="仿宋_GB2312" w:hAnsi="仿宋_GB2312" w:eastAsia="仿宋_GB2312" w:cs="仿宋_GB2312"/>
                <w:kern w:val="0"/>
                <w:sz w:val="32"/>
                <w:szCs w:val="32"/>
                <w:highlight w:val="none"/>
                <w:shd w:val="clear" w:color="auto" w:fill="auto"/>
              </w:rPr>
              <w:sym w:font="Wingdings 2" w:char="00A3"/>
            </w:r>
            <w:r>
              <w:rPr>
                <w:rFonts w:hint="eastAsia" w:ascii="仿宋_GB2312" w:hAnsi="仿宋_GB2312" w:eastAsia="仿宋_GB2312" w:cs="仿宋_GB2312"/>
                <w:kern w:val="0"/>
                <w:sz w:val="32"/>
                <w:szCs w:val="32"/>
                <w:highlight w:val="none"/>
                <w:shd w:val="clear" w:color="auto" w:fill="auto"/>
              </w:rPr>
              <w:t xml:space="preserve">预算审核          </w:t>
            </w:r>
            <w:r>
              <w:rPr>
                <w:rFonts w:hint="eastAsia" w:ascii="仿宋_GB2312" w:hAnsi="仿宋_GB2312" w:eastAsia="仿宋_GB2312" w:cs="仿宋_GB2312"/>
                <w:kern w:val="0"/>
                <w:sz w:val="32"/>
                <w:szCs w:val="32"/>
                <w:highlight w:val="none"/>
                <w:shd w:val="clear" w:color="auto" w:fill="auto"/>
              </w:rPr>
              <w:sym w:font="Wingdings 2" w:char="00A3"/>
            </w:r>
            <w:r>
              <w:rPr>
                <w:rFonts w:hint="eastAsia" w:ascii="仿宋_GB2312" w:hAnsi="仿宋_GB2312" w:eastAsia="仿宋_GB2312" w:cs="仿宋_GB2312"/>
                <w:kern w:val="0"/>
                <w:sz w:val="32"/>
                <w:szCs w:val="32"/>
                <w:highlight w:val="none"/>
                <w:shd w:val="clear" w:color="auto" w:fill="auto"/>
              </w:rPr>
              <w:t xml:space="preserve">结算审核 </w:t>
            </w:r>
          </w:p>
          <w:p w14:paraId="2347E327">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□成本测算           </w:t>
            </w:r>
            <w:r>
              <w:rPr>
                <w:rFonts w:hint="eastAsia" w:ascii="仿宋_GB2312" w:hAnsi="仿宋_GB2312" w:eastAsia="仿宋_GB2312" w:cs="仿宋_GB2312"/>
                <w:kern w:val="0"/>
                <w:sz w:val="32"/>
                <w:szCs w:val="32"/>
                <w:highlight w:val="none"/>
                <w:shd w:val="clear" w:color="auto" w:fill="auto"/>
              </w:rPr>
              <w:sym w:font="Wingdings 2" w:char="00A3"/>
            </w:r>
            <w:r>
              <w:rPr>
                <w:rFonts w:hint="eastAsia" w:ascii="仿宋_GB2312" w:hAnsi="仿宋_GB2312" w:eastAsia="仿宋_GB2312" w:cs="仿宋_GB2312"/>
                <w:kern w:val="0"/>
                <w:sz w:val="32"/>
                <w:szCs w:val="32"/>
                <w:highlight w:val="none"/>
                <w:shd w:val="clear" w:color="auto" w:fill="auto"/>
              </w:rPr>
              <w:t xml:space="preserve">变更签证审核        </w:t>
            </w:r>
          </w:p>
          <w:p w14:paraId="3DAFAF25">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□合同结算审核       </w:t>
            </w:r>
            <w:r>
              <w:rPr>
                <w:rFonts w:hint="eastAsia" w:ascii="仿宋_GB2312" w:hAnsi="仿宋_GB2312" w:eastAsia="仿宋_GB2312" w:cs="仿宋_GB2312"/>
                <w:kern w:val="0"/>
                <w:sz w:val="32"/>
                <w:szCs w:val="32"/>
                <w:highlight w:val="none"/>
                <w:shd w:val="clear" w:color="auto" w:fill="auto"/>
              </w:rPr>
              <w:sym w:font="Wingdings 2" w:char="00A3"/>
            </w:r>
            <w:r>
              <w:rPr>
                <w:rFonts w:hint="eastAsia" w:ascii="仿宋_GB2312" w:hAnsi="仿宋_GB2312" w:eastAsia="仿宋_GB2312" w:cs="仿宋_GB2312"/>
                <w:kern w:val="0"/>
                <w:sz w:val="32"/>
                <w:szCs w:val="32"/>
                <w:highlight w:val="none"/>
                <w:shd w:val="clear" w:color="auto" w:fill="auto"/>
              </w:rPr>
              <w:t>设备、材料市场询价</w:t>
            </w:r>
          </w:p>
          <w:p w14:paraId="6CC185B0">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□其它：</w:t>
            </w:r>
          </w:p>
        </w:tc>
      </w:tr>
      <w:tr w14:paraId="7B3E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8280" w:type="dxa"/>
            <w:gridSpan w:val="4"/>
            <w:noWrap w:val="0"/>
            <w:vAlign w:val="top"/>
          </w:tcPr>
          <w:p w14:paraId="003B3568">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时间要求： 202X年XX月XX日完成XXXXX工程XXXXXXX及其相关的工作。</w:t>
            </w:r>
          </w:p>
        </w:tc>
      </w:tr>
      <w:tr w14:paraId="5A47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80" w:type="dxa"/>
            <w:gridSpan w:val="4"/>
            <w:noWrap w:val="0"/>
            <w:vAlign w:val="top"/>
          </w:tcPr>
          <w:p w14:paraId="4C6E7D9C">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送审造价：</w:t>
            </w:r>
          </w:p>
        </w:tc>
      </w:tr>
      <w:tr w14:paraId="19E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trPr>
        <w:tc>
          <w:tcPr>
            <w:tcW w:w="8280" w:type="dxa"/>
            <w:gridSpan w:val="4"/>
            <w:noWrap w:val="0"/>
            <w:vAlign w:val="top"/>
          </w:tcPr>
          <w:p w14:paraId="49E8147A">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工作要求：</w:t>
            </w:r>
          </w:p>
          <w:p w14:paraId="4E5DB99C">
            <w:pPr>
              <w:pageBreakBefore w:val="0"/>
              <w:kinsoku/>
              <w:wordWrap/>
              <w:overflowPunct/>
              <w:topLinePunct w:val="0"/>
              <w:bidi w:val="0"/>
              <w:spacing w:line="560" w:lineRule="exact"/>
              <w:ind w:firstLine="480" w:firstLineChars="150"/>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按委托人提供的XXXXX工程招标图（电子版）完成工程量清单及控制价编制，开标后完成投标报价分析等相关工作</w:t>
            </w:r>
            <w:r>
              <w:rPr>
                <w:rFonts w:hint="eastAsia" w:ascii="仿宋_GB2312" w:hAnsi="仿宋_GB2312" w:eastAsia="仿宋_GB2312" w:cs="仿宋_GB2312"/>
                <w:kern w:val="0"/>
                <w:sz w:val="32"/>
                <w:szCs w:val="32"/>
                <w:highlight w:val="none"/>
                <w:shd w:val="clear" w:color="auto" w:fill="auto"/>
                <w:lang w:eastAsia="zh-CN"/>
              </w:rPr>
              <w:t>。</w:t>
            </w:r>
          </w:p>
          <w:p w14:paraId="3F683091">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委托人（签字/时间）：  造价咨询单位（签字/时间）：</w:t>
            </w:r>
          </w:p>
        </w:tc>
      </w:tr>
      <w:tr w14:paraId="2339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80" w:type="dxa"/>
            <w:gridSpan w:val="4"/>
            <w:noWrap w:val="0"/>
            <w:vAlign w:val="top"/>
          </w:tcPr>
          <w:p w14:paraId="17431723">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任务完成时间：2020年12月13日前完成。</w:t>
            </w:r>
          </w:p>
        </w:tc>
      </w:tr>
      <w:tr w14:paraId="060B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76" w:type="dxa"/>
            <w:gridSpan w:val="2"/>
            <w:noWrap w:val="0"/>
            <w:vAlign w:val="center"/>
          </w:tcPr>
          <w:p w14:paraId="257D74CD">
            <w:pPr>
              <w:pageBreakBefore w:val="0"/>
              <w:kinsoku/>
              <w:wordWrap/>
              <w:overflowPunct/>
              <w:topLinePunct w:val="0"/>
              <w:bidi w:val="0"/>
              <w:spacing w:line="560" w:lineRule="exact"/>
              <w:jc w:val="center"/>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成本合约部意见</w:t>
            </w:r>
          </w:p>
        </w:tc>
        <w:tc>
          <w:tcPr>
            <w:tcW w:w="7004" w:type="dxa"/>
            <w:gridSpan w:val="2"/>
            <w:noWrap w:val="0"/>
            <w:vAlign w:val="center"/>
          </w:tcPr>
          <w:p w14:paraId="45220F51">
            <w:pPr>
              <w:pageBreakBefore w:val="0"/>
              <w:kinsoku/>
              <w:wordWrap/>
              <w:overflowPunct/>
              <w:topLinePunct w:val="0"/>
              <w:bidi w:val="0"/>
              <w:spacing w:line="560" w:lineRule="exact"/>
              <w:jc w:val="left"/>
              <w:textAlignment w:val="auto"/>
              <w:rPr>
                <w:rFonts w:hint="eastAsia" w:ascii="仿宋_GB2312" w:hAnsi="仿宋_GB2312" w:eastAsia="仿宋_GB2312" w:cs="仿宋_GB2312"/>
                <w:kern w:val="0"/>
                <w:sz w:val="32"/>
                <w:szCs w:val="32"/>
                <w:highlight w:val="none"/>
                <w:shd w:val="clear" w:color="auto" w:fill="auto"/>
              </w:rPr>
            </w:pPr>
          </w:p>
        </w:tc>
      </w:tr>
      <w:tr w14:paraId="0A3C1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276" w:type="dxa"/>
            <w:gridSpan w:val="2"/>
            <w:noWrap w:val="0"/>
            <w:vAlign w:val="center"/>
          </w:tcPr>
          <w:p w14:paraId="5EEA59B0">
            <w:pPr>
              <w:pageBreakBefore w:val="0"/>
              <w:kinsoku/>
              <w:wordWrap/>
              <w:overflowPunct/>
              <w:topLinePunct w:val="0"/>
              <w:bidi w:val="0"/>
              <w:spacing w:line="560" w:lineRule="exact"/>
              <w:jc w:val="center"/>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附件资料</w:t>
            </w:r>
          </w:p>
        </w:tc>
        <w:tc>
          <w:tcPr>
            <w:tcW w:w="7004" w:type="dxa"/>
            <w:gridSpan w:val="2"/>
            <w:noWrap w:val="0"/>
            <w:vAlign w:val="center"/>
          </w:tcPr>
          <w:p w14:paraId="2E4D47CD">
            <w:pPr>
              <w:pageBreakBefore w:val="0"/>
              <w:kinsoku/>
              <w:wordWrap/>
              <w:overflowPunct/>
              <w:topLinePunct w:val="0"/>
              <w:bidi w:val="0"/>
              <w:spacing w:line="560" w:lineRule="exact"/>
              <w:textAlignment w:val="auto"/>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XXXXXXXX工程招标图及其相关资料</w:t>
            </w:r>
          </w:p>
        </w:tc>
      </w:tr>
      <w:permEnd w:id="219"/>
    </w:tbl>
    <w:p w14:paraId="26640F91">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注：1、本委托单一式两份，咨询单位一份，成本合约部一份；2、本委托单为咨询费用结算的依据，</w:t>
      </w:r>
      <w:r>
        <w:rPr>
          <w:rFonts w:hint="eastAsia" w:ascii="仿宋_GB2312" w:hAnsi="仿宋_GB2312" w:eastAsia="仿宋_GB2312" w:cs="仿宋_GB2312"/>
          <w:color w:val="000000"/>
          <w:sz w:val="32"/>
          <w:szCs w:val="32"/>
          <w:highlight w:val="none"/>
          <w:shd w:val="clear" w:color="auto" w:fill="auto"/>
        </w:rPr>
        <w:t xml:space="preserve">      </w:t>
      </w:r>
    </w:p>
    <w:p w14:paraId="1342D49C">
      <w:pPr>
        <w:pStyle w:val="2"/>
        <w:pageBreakBefore w:val="0"/>
        <w:kinsoku/>
        <w:wordWrap/>
        <w:overflowPunct/>
        <w:topLinePunct w:val="0"/>
        <w:bidi w:val="0"/>
        <w:spacing w:before="120" w:after="240" w:line="560" w:lineRule="exact"/>
        <w:textAlignment w:val="auto"/>
        <w:rPr>
          <w:rFonts w:hint="eastAsia" w:ascii="仿宋_GB2312" w:hAnsi="仿宋_GB2312" w:eastAsia="仿宋_GB2312" w:cs="仿宋_GB2312"/>
          <w:color w:val="000000"/>
          <w:sz w:val="32"/>
          <w:szCs w:val="32"/>
          <w:highlight w:val="none"/>
          <w:shd w:val="clear" w:color="auto" w:fill="auto"/>
        </w:rPr>
      </w:pPr>
      <w:bookmarkStart w:id="176" w:name="_Toc11456"/>
      <w:bookmarkStart w:id="177" w:name="_Toc973"/>
    </w:p>
    <w:p w14:paraId="365CC345">
      <w:pPr>
        <w:pStyle w:val="2"/>
        <w:pageBreakBefore w:val="0"/>
        <w:kinsoku/>
        <w:wordWrap/>
        <w:overflowPunct/>
        <w:topLinePunct w:val="0"/>
        <w:bidi w:val="0"/>
        <w:spacing w:before="120" w:after="240"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附录F 咨询人名单及执业资格一览表</w:t>
      </w:r>
      <w:bookmarkEnd w:id="176"/>
      <w:bookmarkEnd w:id="177"/>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96F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2D67B4A">
            <w:pPr>
              <w:pageBreakBefore w:val="0"/>
              <w:kinsoku/>
              <w:wordWrap/>
              <w:overflowPunct/>
              <w:topLinePunct w:val="0"/>
              <w:bidi w:val="0"/>
              <w:spacing w:line="560" w:lineRule="exact"/>
              <w:jc w:val="center"/>
              <w:textAlignment w:val="auto"/>
              <w:rPr>
                <w:rFonts w:hint="eastAsia" w:ascii="仿宋_GB2312" w:hAnsi="仿宋_GB2312" w:eastAsia="仿宋_GB2312" w:cs="仿宋_GB2312"/>
                <w:b/>
                <w:bCs/>
                <w:color w:val="000000"/>
                <w:sz w:val="32"/>
                <w:szCs w:val="32"/>
                <w:highlight w:val="none"/>
                <w:shd w:val="clear" w:color="auto" w:fill="auto"/>
              </w:rPr>
            </w:pPr>
            <w:permStart w:id="220" w:edGrp="everyone" w:colFirst="0" w:colLast="0"/>
            <w:permStart w:id="221" w:edGrp="everyone" w:colFirst="1" w:colLast="1"/>
            <w:permStart w:id="222" w:edGrp="everyone" w:colFirst="2" w:colLast="2"/>
            <w:r>
              <w:rPr>
                <w:rFonts w:hint="eastAsia" w:ascii="仿宋_GB2312" w:hAnsi="仿宋_GB2312" w:eastAsia="仿宋_GB2312" w:cs="仿宋_GB2312"/>
                <w:b/>
                <w:bCs/>
                <w:color w:val="000000"/>
                <w:sz w:val="32"/>
                <w:szCs w:val="32"/>
                <w:highlight w:val="none"/>
                <w:shd w:val="clear" w:color="auto" w:fill="auto"/>
              </w:rPr>
              <w:t>姓名</w:t>
            </w:r>
          </w:p>
        </w:tc>
        <w:tc>
          <w:tcPr>
            <w:tcW w:w="2841" w:type="dxa"/>
            <w:noWrap w:val="0"/>
            <w:vAlign w:val="top"/>
          </w:tcPr>
          <w:p w14:paraId="0EDD823A">
            <w:pPr>
              <w:pageBreakBefore w:val="0"/>
              <w:kinsoku/>
              <w:wordWrap/>
              <w:overflowPunct/>
              <w:topLinePunct w:val="0"/>
              <w:bidi w:val="0"/>
              <w:spacing w:line="560" w:lineRule="exact"/>
              <w:jc w:val="center"/>
              <w:textAlignment w:val="auto"/>
              <w:rPr>
                <w:rFonts w:hint="eastAsia" w:ascii="仿宋_GB2312" w:hAnsi="仿宋_GB2312" w:eastAsia="仿宋_GB2312" w:cs="仿宋_GB2312"/>
                <w:b/>
                <w:bCs/>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执业资格</w:t>
            </w:r>
          </w:p>
        </w:tc>
        <w:tc>
          <w:tcPr>
            <w:tcW w:w="2841" w:type="dxa"/>
            <w:noWrap w:val="0"/>
            <w:vAlign w:val="top"/>
          </w:tcPr>
          <w:p w14:paraId="030F6001">
            <w:pPr>
              <w:pageBreakBefore w:val="0"/>
              <w:kinsoku/>
              <w:wordWrap/>
              <w:overflowPunct/>
              <w:topLinePunct w:val="0"/>
              <w:bidi w:val="0"/>
              <w:spacing w:line="560" w:lineRule="exact"/>
              <w:jc w:val="center"/>
              <w:textAlignment w:val="auto"/>
              <w:rPr>
                <w:rFonts w:hint="eastAsia" w:ascii="仿宋_GB2312" w:hAnsi="仿宋_GB2312" w:eastAsia="仿宋_GB2312" w:cs="仿宋_GB2312"/>
                <w:b/>
                <w:bCs/>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备注</w:t>
            </w:r>
          </w:p>
        </w:tc>
      </w:tr>
      <w:permEnd w:id="220"/>
      <w:permEnd w:id="221"/>
      <w:permEnd w:id="222"/>
      <w:tr w14:paraId="467E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C819ED6">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lang w:val="en-US" w:eastAsia="zh-CN"/>
              </w:rPr>
            </w:pPr>
            <w:permStart w:id="223" w:edGrp="everyone" w:colFirst="0" w:colLast="0"/>
            <w:permStart w:id="224" w:edGrp="everyone" w:colFirst="1" w:colLast="1"/>
            <w:permStart w:id="225" w:edGrp="everyone" w:colFirst="2" w:colLast="2"/>
          </w:p>
        </w:tc>
        <w:tc>
          <w:tcPr>
            <w:tcW w:w="2841" w:type="dxa"/>
            <w:noWrap w:val="0"/>
            <w:vAlign w:val="top"/>
          </w:tcPr>
          <w:p w14:paraId="735A3E17">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4BC5752E">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tc>
      </w:tr>
      <w:permEnd w:id="223"/>
      <w:permEnd w:id="224"/>
      <w:permEnd w:id="225"/>
      <w:tr w14:paraId="12E3B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993CF5B">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lang w:val="en-US" w:eastAsia="zh-CN"/>
              </w:rPr>
            </w:pPr>
            <w:permStart w:id="226" w:edGrp="everyone" w:colFirst="0" w:colLast="0"/>
            <w:permStart w:id="227" w:edGrp="everyone" w:colFirst="1" w:colLast="1"/>
            <w:permStart w:id="228" w:edGrp="everyone" w:colFirst="2" w:colLast="2"/>
          </w:p>
        </w:tc>
        <w:tc>
          <w:tcPr>
            <w:tcW w:w="2841" w:type="dxa"/>
            <w:noWrap w:val="0"/>
            <w:vAlign w:val="top"/>
          </w:tcPr>
          <w:p w14:paraId="586138E9">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59C88C71">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tc>
      </w:tr>
      <w:permEnd w:id="226"/>
      <w:permEnd w:id="227"/>
      <w:permEnd w:id="228"/>
      <w:tr w14:paraId="0962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512D1B5">
            <w:pPr>
              <w:pageBreakBefore w:val="0"/>
              <w:kinsoku/>
              <w:wordWrap/>
              <w:overflowPunct/>
              <w:topLinePunct w:val="0"/>
              <w:bidi w:val="0"/>
              <w:spacing w:line="560" w:lineRule="exact"/>
              <w:ind w:firstLine="960" w:firstLineChars="300"/>
              <w:jc w:val="both"/>
              <w:textAlignment w:val="auto"/>
              <w:rPr>
                <w:rFonts w:hint="eastAsia" w:ascii="仿宋_GB2312" w:hAnsi="仿宋_GB2312" w:eastAsia="仿宋_GB2312" w:cs="仿宋_GB2312"/>
                <w:color w:val="000000"/>
                <w:sz w:val="32"/>
                <w:szCs w:val="32"/>
                <w:highlight w:val="none"/>
                <w:shd w:val="clear" w:color="auto" w:fill="auto"/>
                <w:lang w:val="en-US" w:eastAsia="zh-CN"/>
              </w:rPr>
            </w:pPr>
            <w:permStart w:id="229" w:edGrp="everyone" w:colFirst="0" w:colLast="0"/>
            <w:permStart w:id="230" w:edGrp="everyone" w:colFirst="1" w:colLast="1"/>
            <w:permStart w:id="231" w:edGrp="everyone" w:colFirst="2" w:colLast="2"/>
          </w:p>
        </w:tc>
        <w:tc>
          <w:tcPr>
            <w:tcW w:w="2841" w:type="dxa"/>
            <w:noWrap w:val="0"/>
            <w:vAlign w:val="top"/>
          </w:tcPr>
          <w:p w14:paraId="1EDB6721">
            <w:pPr>
              <w:pageBreakBefore w:val="0"/>
              <w:kinsoku/>
              <w:wordWrap/>
              <w:overflowPunct/>
              <w:topLinePunct w:val="0"/>
              <w:bidi w:val="0"/>
              <w:spacing w:line="560" w:lineRule="exact"/>
              <w:ind w:firstLine="640" w:firstLineChars="200"/>
              <w:jc w:val="both"/>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2CFD663B">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r>
      <w:permEnd w:id="229"/>
      <w:permEnd w:id="230"/>
      <w:permEnd w:id="231"/>
      <w:tr w14:paraId="7A72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DB9CFBC">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rPr>
            </w:pPr>
            <w:permStart w:id="232" w:edGrp="everyone" w:colFirst="0" w:colLast="0"/>
            <w:permStart w:id="233" w:edGrp="everyone" w:colFirst="1" w:colLast="1"/>
            <w:permStart w:id="234" w:edGrp="everyone" w:colFirst="2" w:colLast="2"/>
          </w:p>
        </w:tc>
        <w:tc>
          <w:tcPr>
            <w:tcW w:w="2841" w:type="dxa"/>
            <w:noWrap w:val="0"/>
            <w:vAlign w:val="top"/>
          </w:tcPr>
          <w:p w14:paraId="44702532">
            <w:pPr>
              <w:pageBreakBefore w:val="0"/>
              <w:kinsoku/>
              <w:wordWrap/>
              <w:overflowPunct/>
              <w:topLinePunct w:val="0"/>
              <w:bidi w:val="0"/>
              <w:spacing w:line="560" w:lineRule="exact"/>
              <w:jc w:val="center"/>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50CD8A93">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r>
      <w:permEnd w:id="232"/>
      <w:permEnd w:id="233"/>
      <w:permEnd w:id="234"/>
      <w:tr w14:paraId="5FED2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75BEAD0">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ermStart w:id="235" w:edGrp="everyone" w:colFirst="0" w:colLast="0"/>
            <w:permStart w:id="236" w:edGrp="everyone" w:colFirst="1" w:colLast="1"/>
            <w:permStart w:id="237" w:edGrp="everyone" w:colFirst="2" w:colLast="2"/>
          </w:p>
        </w:tc>
        <w:tc>
          <w:tcPr>
            <w:tcW w:w="2841" w:type="dxa"/>
            <w:noWrap w:val="0"/>
            <w:vAlign w:val="top"/>
          </w:tcPr>
          <w:p w14:paraId="1FC7E062">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2D2804BD">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r>
      <w:permEnd w:id="235"/>
      <w:permEnd w:id="236"/>
      <w:permEnd w:id="237"/>
      <w:tr w14:paraId="73BD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80EAB5B">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ermStart w:id="238" w:edGrp="everyone" w:colFirst="0" w:colLast="0"/>
            <w:permStart w:id="239" w:edGrp="everyone" w:colFirst="1" w:colLast="1"/>
            <w:permStart w:id="240" w:edGrp="everyone" w:colFirst="2" w:colLast="2"/>
          </w:p>
        </w:tc>
        <w:tc>
          <w:tcPr>
            <w:tcW w:w="2841" w:type="dxa"/>
            <w:noWrap w:val="0"/>
            <w:vAlign w:val="top"/>
          </w:tcPr>
          <w:p w14:paraId="26F05F68">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542C008D">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r>
      <w:permEnd w:id="238"/>
      <w:permEnd w:id="239"/>
      <w:permEnd w:id="240"/>
      <w:tr w14:paraId="2D3B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1E58475">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ermStart w:id="241" w:edGrp="everyone" w:colFirst="0" w:colLast="0"/>
            <w:permStart w:id="242" w:edGrp="everyone" w:colFirst="1" w:colLast="1"/>
            <w:permStart w:id="243" w:edGrp="everyone" w:colFirst="2" w:colLast="2"/>
          </w:p>
        </w:tc>
        <w:tc>
          <w:tcPr>
            <w:tcW w:w="2841" w:type="dxa"/>
            <w:noWrap w:val="0"/>
            <w:vAlign w:val="top"/>
          </w:tcPr>
          <w:p w14:paraId="2B953E2F">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c>
          <w:tcPr>
            <w:tcW w:w="2841" w:type="dxa"/>
            <w:noWrap w:val="0"/>
            <w:vAlign w:val="top"/>
          </w:tcPr>
          <w:p w14:paraId="3E515BDF">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
        </w:tc>
      </w:tr>
      <w:permEnd w:id="241"/>
      <w:permEnd w:id="242"/>
      <w:permEnd w:id="243"/>
      <w:tr w14:paraId="216A0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5374F62">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ermStart w:id="244" w:edGrp="everyone" w:colFirst="0" w:colLast="0"/>
            <w:permStart w:id="245" w:edGrp="everyone" w:colFirst="1" w:colLast="1"/>
            <w:permStart w:id="246" w:edGrp="everyone" w:colFirst="2" w:colLast="2"/>
            <w:r>
              <w:rPr>
                <w:rFonts w:hint="eastAsia" w:ascii="仿宋_GB2312" w:hAnsi="仿宋_GB2312" w:eastAsia="仿宋_GB2312" w:cs="仿宋_GB2312"/>
                <w:color w:val="000000"/>
                <w:sz w:val="32"/>
                <w:szCs w:val="32"/>
                <w:highlight w:val="none"/>
                <w:shd w:val="clear" w:color="auto" w:fill="auto"/>
              </w:rPr>
              <w:t xml:space="preserve">    </w:t>
            </w:r>
          </w:p>
        </w:tc>
        <w:tc>
          <w:tcPr>
            <w:tcW w:w="2841" w:type="dxa"/>
            <w:noWrap w:val="0"/>
            <w:vAlign w:val="top"/>
          </w:tcPr>
          <w:p w14:paraId="5C7B88AF">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tc>
        <w:tc>
          <w:tcPr>
            <w:tcW w:w="2841" w:type="dxa"/>
            <w:noWrap w:val="0"/>
            <w:vAlign w:val="top"/>
          </w:tcPr>
          <w:p w14:paraId="3C47C9C7">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tc>
      </w:tr>
      <w:permEnd w:id="244"/>
      <w:permEnd w:id="245"/>
      <w:permEnd w:id="246"/>
      <w:tr w14:paraId="1031D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B6839C0">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permStart w:id="247" w:edGrp="everyone" w:colFirst="0" w:colLast="0"/>
            <w:permStart w:id="248" w:edGrp="everyone" w:colFirst="1" w:colLast="1"/>
            <w:permStart w:id="249" w:edGrp="everyone" w:colFirst="2" w:colLast="2"/>
            <w:r>
              <w:rPr>
                <w:rFonts w:hint="eastAsia" w:ascii="仿宋_GB2312" w:hAnsi="仿宋_GB2312" w:eastAsia="仿宋_GB2312" w:cs="仿宋_GB2312"/>
                <w:color w:val="000000"/>
                <w:sz w:val="32"/>
                <w:szCs w:val="32"/>
                <w:highlight w:val="none"/>
                <w:shd w:val="clear" w:color="auto" w:fill="auto"/>
              </w:rPr>
              <w:t xml:space="preserve">    </w:t>
            </w:r>
          </w:p>
        </w:tc>
        <w:tc>
          <w:tcPr>
            <w:tcW w:w="2841" w:type="dxa"/>
            <w:noWrap w:val="0"/>
            <w:vAlign w:val="top"/>
          </w:tcPr>
          <w:p w14:paraId="30973CC5">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tc>
        <w:tc>
          <w:tcPr>
            <w:tcW w:w="2841" w:type="dxa"/>
            <w:noWrap w:val="0"/>
            <w:vAlign w:val="top"/>
          </w:tcPr>
          <w:p w14:paraId="5FE5A692">
            <w:pPr>
              <w:pageBreakBefore w:val="0"/>
              <w:kinsoku/>
              <w:wordWrap/>
              <w:overflowPunct/>
              <w:topLinePunct w:val="0"/>
              <w:bidi w:val="0"/>
              <w:spacing w:line="560" w:lineRule="exac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tc>
      </w:tr>
      <w:permEnd w:id="247"/>
      <w:permEnd w:id="248"/>
      <w:permEnd w:id="249"/>
    </w:tbl>
    <w:p w14:paraId="4FA684FA">
      <w:pPr>
        <w:pageBreakBefore w:val="0"/>
        <w:kinsoku/>
        <w:wordWrap/>
        <w:overflowPunct/>
        <w:topLinePunct w:val="0"/>
        <w:bidi w:val="0"/>
        <w:spacing w:before="120" w:after="240"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p>
    <w:p w14:paraId="6D5D817C">
      <w:pPr>
        <w:pageBreakBefore w:val="0"/>
        <w:kinsoku/>
        <w:wordWrap/>
        <w:overflowPunct/>
        <w:topLinePunct w:val="0"/>
        <w:bidi w:val="0"/>
        <w:spacing w:before="120" w:after="240"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p>
    <w:p w14:paraId="5EB089ED">
      <w:pPr>
        <w:pageBreakBefore w:val="0"/>
        <w:kinsoku/>
        <w:wordWrap/>
        <w:overflowPunct/>
        <w:topLinePunct w:val="0"/>
        <w:bidi w:val="0"/>
        <w:spacing w:before="120" w:after="240" w:line="560" w:lineRule="exact"/>
        <w:ind w:firstLine="560"/>
        <w:textAlignment w:val="auto"/>
        <w:rPr>
          <w:rFonts w:hint="eastAsia" w:ascii="仿宋_GB2312" w:hAnsi="仿宋_GB2312" w:eastAsia="仿宋_GB2312" w:cs="仿宋_GB2312"/>
          <w:color w:val="000000"/>
          <w:sz w:val="32"/>
          <w:szCs w:val="32"/>
          <w:highlight w:val="none"/>
          <w:shd w:val="clear" w:color="auto" w:fill="auto"/>
        </w:rPr>
      </w:pPr>
    </w:p>
    <w:p w14:paraId="484B4DDF">
      <w:pPr>
        <w:pageBreakBefore w:val="0"/>
        <w:kinsoku/>
        <w:wordWrap/>
        <w:overflowPunct/>
        <w:topLinePunct w:val="0"/>
        <w:bidi w:val="0"/>
        <w:spacing w:before="120" w:after="240" w:line="560" w:lineRule="exact"/>
        <w:textAlignment w:val="auto"/>
        <w:rPr>
          <w:rFonts w:hint="eastAsia" w:ascii="仿宋_GB2312" w:hAnsi="仿宋_GB2312" w:eastAsia="仿宋_GB2312" w:cs="仿宋_GB2312"/>
          <w:color w:val="000000"/>
          <w:sz w:val="32"/>
          <w:szCs w:val="32"/>
          <w:highlight w:val="none"/>
          <w:shd w:val="clear" w:color="auto" w:fill="auto"/>
        </w:rPr>
      </w:pPr>
    </w:p>
    <w:p w14:paraId="6E0FBAEC">
      <w:pPr>
        <w:pageBreakBefore w:val="0"/>
        <w:kinsoku/>
        <w:wordWrap/>
        <w:overflowPunct/>
        <w:topLinePunct w:val="0"/>
        <w:bidi w:val="0"/>
        <w:spacing w:before="120" w:after="240" w:line="560" w:lineRule="exact"/>
        <w:textAlignment w:val="auto"/>
        <w:rPr>
          <w:rFonts w:hint="eastAsia" w:ascii="仿宋_GB2312" w:hAnsi="仿宋_GB2312" w:eastAsia="仿宋_GB2312" w:cs="仿宋_GB2312"/>
          <w:color w:val="000000"/>
          <w:sz w:val="32"/>
          <w:szCs w:val="32"/>
          <w:highlight w:val="none"/>
          <w:shd w:val="clear" w:color="auto" w:fill="auto"/>
        </w:rPr>
      </w:pPr>
    </w:p>
    <w:p w14:paraId="4FFB7E67">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br w:type="page"/>
      </w:r>
    </w:p>
    <w:p w14:paraId="03470C67">
      <w:pPr>
        <w:pageBreakBefore w:val="0"/>
        <w:kinsoku/>
        <w:wordWrap/>
        <w:overflowPunct/>
        <w:topLinePunct w:val="0"/>
        <w:bidi w:val="0"/>
        <w:spacing w:line="560" w:lineRule="exact"/>
        <w:textAlignment w:val="auto"/>
        <w:rPr>
          <w:rFonts w:hint="eastAsia" w:ascii="仿宋_GB2312" w:hAnsi="仿宋_GB2312" w:eastAsia="仿宋_GB2312" w:cs="仿宋_GB2312"/>
          <w:b/>
          <w:bCs/>
          <w:color w:val="000000"/>
          <w:sz w:val="32"/>
          <w:szCs w:val="32"/>
          <w:highlight w:val="none"/>
          <w:shd w:val="clear" w:color="auto" w:fill="auto"/>
        </w:rPr>
      </w:pPr>
      <w:r>
        <w:rPr>
          <w:rFonts w:hint="eastAsia" w:ascii="仿宋_GB2312" w:hAnsi="仿宋_GB2312" w:eastAsia="仿宋_GB2312" w:cs="仿宋_GB2312"/>
          <w:b/>
          <w:bCs/>
          <w:color w:val="000000"/>
          <w:sz w:val="32"/>
          <w:szCs w:val="32"/>
          <w:highlight w:val="none"/>
          <w:shd w:val="clear" w:color="auto" w:fill="auto"/>
        </w:rPr>
        <w:t>附件G</w:t>
      </w:r>
    </w:p>
    <w:p w14:paraId="43F8C0A1">
      <w:pPr>
        <w:pageBreakBefore w:val="0"/>
        <w:kinsoku/>
        <w:wordWrap/>
        <w:overflowPunct/>
        <w:topLinePunct w:val="0"/>
        <w:bidi w:val="0"/>
        <w:spacing w:line="560" w:lineRule="exact"/>
        <w:ind w:firstLine="880"/>
        <w:jc w:val="center"/>
        <w:textAlignment w:val="auto"/>
        <w:rPr>
          <w:rFonts w:hint="eastAsia" w:ascii="方正小标宋简体" w:hAnsi="方正小标宋简体" w:eastAsia="方正小标宋简体" w:cs="方正小标宋简体"/>
          <w:color w:val="000000"/>
          <w:sz w:val="44"/>
          <w:szCs w:val="44"/>
          <w:highlight w:val="none"/>
          <w:shd w:val="clear" w:color="auto" w:fill="auto"/>
        </w:rPr>
      </w:pPr>
      <w:r>
        <w:rPr>
          <w:rFonts w:hint="eastAsia" w:ascii="方正小标宋简体" w:hAnsi="方正小标宋简体" w:eastAsia="方正小标宋简体" w:cs="方正小标宋简体"/>
          <w:color w:val="000000"/>
          <w:sz w:val="44"/>
          <w:szCs w:val="44"/>
          <w:highlight w:val="none"/>
          <w:shd w:val="clear" w:color="auto" w:fill="auto"/>
        </w:rPr>
        <w:t>保密承诺函</w:t>
      </w:r>
    </w:p>
    <w:p w14:paraId="38B571CA">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p>
    <w:p w14:paraId="2E45A4AE">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致：</w:t>
      </w:r>
      <w:permStart w:id="250" w:edGrp="everyone"/>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海南省桂林洋公用事业发展有限公司</w:t>
      </w:r>
      <w:permEnd w:id="250"/>
      <w:r>
        <w:rPr>
          <w:rFonts w:hint="eastAsia" w:ascii="仿宋_GB2312" w:hAnsi="仿宋_GB2312" w:eastAsia="仿宋_GB2312" w:cs="仿宋_GB2312"/>
          <w:color w:val="000000"/>
          <w:sz w:val="32"/>
          <w:szCs w:val="32"/>
          <w:highlight w:val="none"/>
          <w:shd w:val="clear" w:color="auto" w:fill="auto"/>
        </w:rPr>
        <w:t xml:space="preserve">     </w:t>
      </w:r>
    </w:p>
    <w:p w14:paraId="4A8FBF5B">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我司受</w:t>
      </w:r>
      <w:permStart w:id="251" w:edGrp="everyone"/>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海南省桂林洋公用事业发展有限公司</w:t>
      </w:r>
      <w:r>
        <w:rPr>
          <w:rFonts w:hint="eastAsia" w:ascii="仿宋_GB2312" w:hAnsi="仿宋_GB2312" w:eastAsia="仿宋_GB2312" w:cs="仿宋_GB2312"/>
          <w:color w:val="000000"/>
          <w:sz w:val="32"/>
          <w:szCs w:val="32"/>
          <w:highlight w:val="none"/>
          <w:shd w:val="clear" w:color="auto" w:fill="auto"/>
        </w:rPr>
        <w:t xml:space="preserve"> </w:t>
      </w:r>
      <w:permEnd w:id="251"/>
      <w:r>
        <w:rPr>
          <w:rFonts w:hint="eastAsia" w:ascii="仿宋_GB2312" w:hAnsi="仿宋_GB2312" w:eastAsia="仿宋_GB2312" w:cs="仿宋_GB2312"/>
          <w:color w:val="000000"/>
          <w:sz w:val="32"/>
          <w:szCs w:val="32"/>
          <w:highlight w:val="none"/>
          <w:shd w:val="clear" w:color="auto" w:fill="auto"/>
        </w:rPr>
        <w:t>（以下简称“委托人”）委托，负责</w:t>
      </w:r>
      <w:permStart w:id="252" w:edGrp="everyone"/>
      <w:r>
        <w:rPr>
          <w:rFonts w:hint="eastAsia" w:ascii="仿宋_GB2312" w:hAnsi="仿宋_GB2312" w:eastAsia="仿宋_GB2312" w:cs="仿宋_GB2312"/>
          <w:color w:val="000000"/>
          <w:sz w:val="32"/>
          <w:szCs w:val="32"/>
          <w:highlight w:val="none"/>
          <w:shd w:val="clear" w:color="auto" w:fill="auto"/>
        </w:rPr>
        <w:t xml:space="preserve"> </w:t>
      </w:r>
      <w:r>
        <w:rPr>
          <w:rFonts w:hint="eastAsia" w:ascii="仿宋_GB2312" w:hAnsi="仿宋_GB2312" w:eastAsia="仿宋_GB2312" w:cs="仿宋_GB2312"/>
          <w:color w:val="000000"/>
          <w:sz w:val="32"/>
          <w:szCs w:val="32"/>
          <w:highlight w:val="none"/>
          <w:shd w:val="clear" w:color="auto" w:fill="auto"/>
          <w:lang w:val="en-US" w:eastAsia="zh-CN"/>
        </w:rPr>
        <w:t xml:space="preserve">   工程量清单及控制价编制</w:t>
      </w:r>
      <w:permEnd w:id="252"/>
      <w:r>
        <w:rPr>
          <w:rFonts w:hint="eastAsia" w:ascii="仿宋_GB2312" w:hAnsi="仿宋_GB2312" w:eastAsia="仿宋_GB2312" w:cs="仿宋_GB2312"/>
          <w:color w:val="000000"/>
          <w:sz w:val="32"/>
          <w:szCs w:val="32"/>
          <w:highlight w:val="none"/>
          <w:shd w:val="clear" w:color="auto" w:fill="auto"/>
        </w:rPr>
        <w:t>工作，我司在此承诺：</w:t>
      </w:r>
    </w:p>
    <w:p w14:paraId="266D6F52">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1、保密信息是指在履行本合同过程中获得的委托人及利益相关方的一切非公开资料、信息，包括但不限于关于本项目的基础资料及数据，以及本合同内容等，我司对保密信息负有保密义务，我司承诺不以任何方式（包括但不限于复制、仿造等）将保密信息泄露给本合同以外的任何人，不将保密信息用于本项目以外的其他用途。我司承诺在确定中标单位前，招标控制价等文件仅限用于我司参与人员编制、审核工作，过程资料仅与委托人指定对接人联系及沟通，不得向合同外第三方发送，也不得接触除委托人指定对接人外的其他人员。</w:t>
      </w:r>
    </w:p>
    <w:p w14:paraId="50551D28">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2、我司承担保密义务直到至本条款中所称的保密信息进入公示领域或委托人将这些保密信息公开为止，不因本合同终止或履行完毕而终止。</w:t>
      </w:r>
    </w:p>
    <w:p w14:paraId="75EFD4AC">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3、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    </w:t>
      </w:r>
    </w:p>
    <w:p w14:paraId="35105BC4">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      </w:t>
      </w:r>
    </w:p>
    <w:p w14:paraId="4CA6ED71">
      <w:pPr>
        <w:pageBreakBefore w:val="0"/>
        <w:widowControl/>
        <w:kinsoku/>
        <w:wordWrap/>
        <w:overflowPunct/>
        <w:topLinePunct w:val="0"/>
        <w:bidi w:val="0"/>
        <w:spacing w:line="560" w:lineRule="exact"/>
        <w:ind w:firstLine="640" w:firstLineChars="200"/>
        <w:jc w:val="left"/>
        <w:textAlignment w:val="auto"/>
        <w:rPr>
          <w:rFonts w:hint="eastAsia" w:ascii="仿宋_GB2312" w:hAnsi="仿宋_GB2312" w:eastAsia="仿宋_GB2312" w:cs="仿宋_GB2312"/>
          <w:color w:val="000000"/>
          <w:sz w:val="32"/>
          <w:szCs w:val="32"/>
          <w:highlight w:val="none"/>
          <w:shd w:val="clear" w:color="auto" w:fill="auto"/>
        </w:rPr>
      </w:pPr>
    </w:p>
    <w:p w14:paraId="45D5CA4E">
      <w:pPr>
        <w:pageBreakBefore w:val="0"/>
        <w:kinsoku/>
        <w:wordWrap w:val="0"/>
        <w:overflowPunct/>
        <w:topLinePunct w:val="0"/>
        <w:bidi w:val="0"/>
        <w:spacing w:line="560" w:lineRule="exact"/>
        <w:ind w:right="1680"/>
        <w:jc w:val="center"/>
        <w:textAlignment w:val="auto"/>
        <w:rPr>
          <w:rFonts w:hint="default" w:ascii="仿宋_GB2312" w:hAnsi="仿宋_GB2312" w:eastAsia="仿宋_GB2312" w:cs="仿宋_GB2312"/>
          <w:color w:val="000000"/>
          <w:sz w:val="32"/>
          <w:szCs w:val="32"/>
          <w:highlight w:val="none"/>
          <w:shd w:val="clear" w:color="auto" w:fill="auto"/>
          <w:lang w:val="en-US" w:eastAsia="zh-CN"/>
        </w:rPr>
      </w:pPr>
      <w:r>
        <w:rPr>
          <w:rFonts w:hint="eastAsia" w:ascii="仿宋_GB2312" w:hAnsi="仿宋_GB2312" w:eastAsia="仿宋_GB2312" w:cs="仿宋_GB2312"/>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rPr>
        <w:t>承诺人名称：</w:t>
      </w:r>
      <w:permStart w:id="253"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
    <w:permEnd w:id="253"/>
    <w:p w14:paraId="748DE2A8">
      <w:pPr>
        <w:pageBreakBefore w:val="0"/>
        <w:kinsoku/>
        <w:wordWrap/>
        <w:overflowPunct/>
        <w:topLinePunct w:val="0"/>
        <w:bidi w:val="0"/>
        <w:spacing w:line="560" w:lineRule="exact"/>
        <w:textAlignment w:val="auto"/>
        <w:rPr>
          <w:rFonts w:hint="eastAsia" w:ascii="仿宋_GB2312" w:hAnsi="仿宋_GB2312" w:eastAsia="仿宋_GB2312" w:cs="仿宋_GB2312"/>
          <w:b/>
          <w:color w:val="000000"/>
          <w:sz w:val="32"/>
          <w:szCs w:val="32"/>
          <w:highlight w:val="none"/>
          <w:shd w:val="clear" w:color="auto" w:fill="auto"/>
        </w:rPr>
      </w:pPr>
      <w:bookmarkStart w:id="178" w:name="_Toc1298"/>
      <w:bookmarkStart w:id="179" w:name="_Toc14755"/>
      <w:bookmarkStart w:id="180" w:name="_Toc1718"/>
      <w:r>
        <w:rPr>
          <w:rFonts w:hint="eastAsia" w:ascii="仿宋_GB2312" w:hAnsi="仿宋_GB2312" w:eastAsia="仿宋_GB2312" w:cs="仿宋_GB2312"/>
          <w:b/>
          <w:color w:val="000000"/>
          <w:sz w:val="32"/>
          <w:szCs w:val="32"/>
          <w:highlight w:val="none"/>
          <w:shd w:val="clear" w:color="auto" w:fill="auto"/>
          <w:lang w:val="en-US" w:eastAsia="zh-CN"/>
        </w:rPr>
        <w:t xml:space="preserve">                       </w:t>
      </w:r>
      <w:r>
        <w:rPr>
          <w:rFonts w:hint="eastAsia" w:ascii="仿宋_GB2312" w:hAnsi="仿宋_GB2312" w:eastAsia="仿宋_GB2312" w:cs="仿宋_GB2312"/>
          <w:color w:val="000000"/>
          <w:sz w:val="32"/>
          <w:szCs w:val="32"/>
          <w:highlight w:val="none"/>
          <w:shd w:val="clear" w:color="auto" w:fill="auto"/>
          <w:lang w:val="en-US" w:eastAsia="zh-CN"/>
        </w:rPr>
        <w:t>日期：</w:t>
      </w:r>
      <w:r>
        <w:rPr>
          <w:rFonts w:hint="eastAsia" w:ascii="仿宋_GB2312" w:hAnsi="仿宋_GB2312" w:eastAsia="仿宋_GB2312" w:cs="仿宋_GB2312"/>
          <w:b/>
          <w:color w:val="000000"/>
          <w:sz w:val="32"/>
          <w:szCs w:val="32"/>
          <w:highlight w:val="none"/>
          <w:shd w:val="clear" w:color="auto" w:fill="auto"/>
          <w:lang w:val="en-US" w:eastAsia="zh-CN"/>
        </w:rPr>
        <w:t xml:space="preserve"> </w:t>
      </w:r>
      <w:permStart w:id="254" w:edGrp="everyone"/>
      <w:r>
        <w:rPr>
          <w:rFonts w:hint="eastAsia" w:ascii="仿宋_GB2312" w:hAnsi="仿宋_GB2312" w:eastAsia="仿宋_GB2312" w:cs="仿宋_GB2312"/>
          <w:b/>
          <w:color w:val="000000"/>
          <w:sz w:val="32"/>
          <w:szCs w:val="32"/>
          <w:highlight w:val="none"/>
          <w:shd w:val="clear" w:color="auto" w:fill="auto"/>
          <w:lang w:val="en-US" w:eastAsia="zh-CN"/>
        </w:rPr>
        <w:t xml:space="preserve">      </w:t>
      </w:r>
      <w:permEnd w:id="254"/>
      <w:r>
        <w:rPr>
          <w:rFonts w:hint="eastAsia" w:ascii="仿宋_GB2312" w:hAnsi="仿宋_GB2312" w:eastAsia="仿宋_GB2312" w:cs="仿宋_GB2312"/>
          <w:color w:val="000000"/>
          <w:sz w:val="32"/>
          <w:szCs w:val="32"/>
          <w:highlight w:val="none"/>
          <w:shd w:val="clear" w:color="auto" w:fill="auto"/>
          <w:lang w:val="en-US" w:eastAsia="zh-CN"/>
        </w:rPr>
        <w:t>年</w:t>
      </w:r>
      <w:permStart w:id="255"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255"/>
      <w:r>
        <w:rPr>
          <w:rFonts w:hint="eastAsia" w:ascii="仿宋_GB2312" w:hAnsi="仿宋_GB2312" w:eastAsia="仿宋_GB2312" w:cs="仿宋_GB2312"/>
          <w:color w:val="000000"/>
          <w:sz w:val="32"/>
          <w:szCs w:val="32"/>
          <w:highlight w:val="none"/>
          <w:shd w:val="clear" w:color="auto" w:fill="auto"/>
          <w:lang w:val="en-US" w:eastAsia="zh-CN"/>
        </w:rPr>
        <w:t>月</w:t>
      </w:r>
      <w:permStart w:id="256" w:edGrp="everyone"/>
      <w:r>
        <w:rPr>
          <w:rFonts w:hint="eastAsia" w:ascii="仿宋_GB2312" w:hAnsi="仿宋_GB2312" w:eastAsia="仿宋_GB2312" w:cs="仿宋_GB2312"/>
          <w:color w:val="000000"/>
          <w:sz w:val="32"/>
          <w:szCs w:val="32"/>
          <w:highlight w:val="none"/>
          <w:shd w:val="clear" w:color="auto" w:fill="auto"/>
          <w:lang w:val="en-US" w:eastAsia="zh-CN"/>
        </w:rPr>
        <w:t xml:space="preserve">     </w:t>
      </w:r>
      <w:permEnd w:id="256"/>
      <w:r>
        <w:rPr>
          <w:rFonts w:hint="eastAsia" w:ascii="仿宋_GB2312" w:hAnsi="仿宋_GB2312" w:eastAsia="仿宋_GB2312" w:cs="仿宋_GB2312"/>
          <w:color w:val="000000"/>
          <w:sz w:val="32"/>
          <w:szCs w:val="32"/>
          <w:highlight w:val="none"/>
          <w:shd w:val="clear" w:color="auto" w:fill="auto"/>
          <w:lang w:val="en-US" w:eastAsia="zh-CN"/>
        </w:rPr>
        <w:t>日</w:t>
      </w:r>
      <w:r>
        <w:rPr>
          <w:rFonts w:hint="eastAsia" w:ascii="仿宋_GB2312" w:hAnsi="仿宋_GB2312" w:eastAsia="仿宋_GB2312" w:cs="仿宋_GB2312"/>
          <w:b/>
          <w:color w:val="000000"/>
          <w:sz w:val="32"/>
          <w:szCs w:val="32"/>
          <w:highlight w:val="none"/>
          <w:shd w:val="clear" w:color="auto" w:fill="auto"/>
        </w:rPr>
        <w:br w:type="page"/>
      </w:r>
    </w:p>
    <w:p w14:paraId="1C65EB12">
      <w:pPr>
        <w:pageBreakBefore w:val="0"/>
        <w:kinsoku/>
        <w:wordWrap/>
        <w:overflowPunct/>
        <w:topLinePunct w:val="0"/>
        <w:bidi w:val="0"/>
        <w:spacing w:line="560" w:lineRule="exact"/>
        <w:textAlignment w:val="auto"/>
        <w:outlineLvl w:val="1"/>
        <w:rPr>
          <w:rFonts w:hint="eastAsia" w:ascii="仿宋_GB2312" w:hAnsi="仿宋_GB2312" w:eastAsia="仿宋_GB2312" w:cs="仿宋_GB2312"/>
          <w:b/>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附件H</w:t>
      </w:r>
    </w:p>
    <w:p w14:paraId="0740FBC8">
      <w:pPr>
        <w:pageBreakBefore w:val="0"/>
        <w:kinsoku/>
        <w:wordWrap/>
        <w:overflowPunct/>
        <w:topLinePunct w:val="0"/>
        <w:bidi w:val="0"/>
        <w:spacing w:line="560" w:lineRule="exact"/>
        <w:jc w:val="center"/>
        <w:textAlignment w:val="auto"/>
        <w:outlineLvl w:val="1"/>
        <w:rPr>
          <w:rFonts w:hint="eastAsia" w:ascii="方正小标宋简体" w:hAnsi="方正小标宋简体" w:eastAsia="方正小标宋简体" w:cs="方正小标宋简体"/>
          <w:b w:val="0"/>
          <w:bCs/>
          <w:color w:val="000000"/>
          <w:sz w:val="44"/>
          <w:szCs w:val="44"/>
          <w:highlight w:val="none"/>
          <w:shd w:val="clear" w:color="auto" w:fill="auto"/>
        </w:rPr>
      </w:pPr>
      <w:r>
        <w:rPr>
          <w:rFonts w:hint="eastAsia" w:ascii="方正小标宋简体" w:hAnsi="方正小标宋简体" w:eastAsia="方正小标宋简体" w:cs="方正小标宋简体"/>
          <w:b w:val="0"/>
          <w:bCs/>
          <w:color w:val="000000"/>
          <w:sz w:val="44"/>
          <w:szCs w:val="44"/>
          <w:highlight w:val="none"/>
          <w:shd w:val="clear" w:color="auto" w:fill="auto"/>
        </w:rPr>
        <w:t>廉政协议书</w:t>
      </w:r>
      <w:bookmarkEnd w:id="178"/>
      <w:bookmarkEnd w:id="179"/>
      <w:bookmarkEnd w:id="180"/>
    </w:p>
    <w:p w14:paraId="21044199">
      <w:pPr>
        <w:pageBreakBefore w:val="0"/>
        <w:kinsoku/>
        <w:wordWrap/>
        <w:overflowPunct/>
        <w:topLinePunct w:val="0"/>
        <w:bidi w:val="0"/>
        <w:spacing w:line="560" w:lineRule="exact"/>
        <w:textAlignment w:val="auto"/>
        <w:rPr>
          <w:rFonts w:hint="eastAsia" w:ascii="仿宋_GB2312" w:hAnsi="仿宋_GB2312" w:eastAsia="仿宋_GB2312" w:cs="仿宋_GB2312"/>
          <w:b/>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委托人：</w:t>
      </w:r>
      <w:permStart w:id="257" w:edGrp="everyone"/>
      <w:r>
        <w:rPr>
          <w:rFonts w:hint="eastAsia" w:ascii="仿宋_GB2312" w:hAnsi="仿宋_GB2312" w:eastAsia="仿宋_GB2312" w:cs="仿宋_GB2312"/>
          <w:b/>
          <w:bCs/>
          <w:color w:val="000000"/>
          <w:sz w:val="32"/>
          <w:szCs w:val="32"/>
          <w:highlight w:val="none"/>
          <w:u w:val="single"/>
          <w:shd w:val="clear" w:color="auto" w:fill="auto"/>
        </w:rPr>
        <w:t xml:space="preserve"> </w:t>
      </w:r>
      <w:r>
        <w:rPr>
          <w:rFonts w:hint="eastAsia" w:ascii="仿宋_GB2312" w:hAnsi="仿宋_GB2312" w:eastAsia="仿宋_GB2312" w:cs="仿宋_GB2312"/>
          <w:b/>
          <w:bCs/>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b/>
          <w:color w:val="000000"/>
          <w:sz w:val="32"/>
          <w:szCs w:val="32"/>
          <w:highlight w:val="none"/>
          <w:u w:val="single"/>
          <w:shd w:val="clear" w:color="auto" w:fill="auto"/>
        </w:rPr>
        <w:t xml:space="preserve"> </w:t>
      </w:r>
      <w:r>
        <w:rPr>
          <w:rFonts w:hint="eastAsia" w:ascii="仿宋_GB2312" w:hAnsi="仿宋_GB2312" w:eastAsia="仿宋_GB2312" w:cs="仿宋_GB2312"/>
          <w:b/>
          <w:bCs/>
          <w:color w:val="000000"/>
          <w:sz w:val="32"/>
          <w:szCs w:val="32"/>
          <w:highlight w:val="none"/>
          <w:u w:val="single"/>
          <w:shd w:val="clear" w:color="auto" w:fill="auto"/>
        </w:rPr>
        <w:t xml:space="preserve"> </w:t>
      </w:r>
      <w:permEnd w:id="257"/>
    </w:p>
    <w:p w14:paraId="7073DE43">
      <w:pPr>
        <w:pageBreakBefore w:val="0"/>
        <w:kinsoku/>
        <w:wordWrap/>
        <w:overflowPunct/>
        <w:topLinePunct w:val="0"/>
        <w:bidi w:val="0"/>
        <w:spacing w:line="560" w:lineRule="exact"/>
        <w:textAlignment w:val="auto"/>
        <w:rPr>
          <w:rFonts w:hint="eastAsia" w:ascii="仿宋_GB2312" w:hAnsi="仿宋_GB2312" w:eastAsia="仿宋_GB2312" w:cs="仿宋_GB2312"/>
          <w:b/>
          <w:color w:val="000000"/>
          <w:sz w:val="32"/>
          <w:szCs w:val="32"/>
          <w:highlight w:val="none"/>
          <w:u w:val="single"/>
          <w:shd w:val="clear" w:color="auto" w:fill="auto"/>
        </w:rPr>
      </w:pPr>
      <w:r>
        <w:rPr>
          <w:rFonts w:hint="eastAsia" w:ascii="仿宋_GB2312" w:hAnsi="仿宋_GB2312" w:eastAsia="仿宋_GB2312" w:cs="仿宋_GB2312"/>
          <w:b/>
          <w:color w:val="000000"/>
          <w:sz w:val="32"/>
          <w:szCs w:val="32"/>
          <w:highlight w:val="none"/>
          <w:shd w:val="clear" w:color="auto" w:fill="auto"/>
        </w:rPr>
        <w:t>咨询人：</w:t>
      </w:r>
      <w:permStart w:id="258" w:edGrp="everyone"/>
      <w:r>
        <w:rPr>
          <w:rFonts w:hint="eastAsia" w:ascii="仿宋_GB2312" w:hAnsi="仿宋_GB2312" w:eastAsia="仿宋_GB2312" w:cs="仿宋_GB2312"/>
          <w:b/>
          <w:color w:val="000000"/>
          <w:sz w:val="32"/>
          <w:szCs w:val="32"/>
          <w:highlight w:val="none"/>
          <w:u w:val="single"/>
          <w:shd w:val="clear" w:color="auto" w:fill="auto"/>
        </w:rPr>
        <w:t xml:space="preserve"> </w:t>
      </w:r>
      <w:r>
        <w:rPr>
          <w:rFonts w:hint="eastAsia" w:ascii="仿宋_GB2312" w:hAnsi="仿宋_GB2312" w:eastAsia="仿宋_GB2312" w:cs="仿宋_GB2312"/>
          <w:b/>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b/>
          <w:color w:val="000000"/>
          <w:sz w:val="32"/>
          <w:szCs w:val="32"/>
          <w:highlight w:val="none"/>
          <w:u w:val="single"/>
          <w:shd w:val="clear" w:color="auto" w:fill="auto"/>
        </w:rPr>
        <w:t xml:space="preserve"> </w:t>
      </w:r>
      <w:r>
        <w:rPr>
          <w:rFonts w:hint="eastAsia" w:ascii="仿宋_GB2312" w:hAnsi="仿宋_GB2312" w:eastAsia="仿宋_GB2312" w:cs="仿宋_GB2312"/>
          <w:b/>
          <w:color w:val="000000"/>
          <w:sz w:val="32"/>
          <w:szCs w:val="32"/>
          <w:highlight w:val="none"/>
          <w:u w:val="single"/>
          <w:shd w:val="clear" w:color="auto" w:fill="auto"/>
          <w:lang w:val="en-US" w:eastAsia="zh-CN"/>
        </w:rPr>
        <w:t xml:space="preserve">   </w:t>
      </w:r>
      <w:r>
        <w:rPr>
          <w:rFonts w:hint="eastAsia" w:ascii="仿宋_GB2312" w:hAnsi="仿宋_GB2312" w:eastAsia="仿宋_GB2312" w:cs="仿宋_GB2312"/>
          <w:b/>
          <w:color w:val="000000"/>
          <w:sz w:val="32"/>
          <w:szCs w:val="32"/>
          <w:highlight w:val="none"/>
          <w:u w:val="single"/>
          <w:shd w:val="clear" w:color="auto" w:fill="auto"/>
        </w:rPr>
        <w:t xml:space="preserve">     </w:t>
      </w:r>
      <w:permEnd w:id="258"/>
      <w:r>
        <w:rPr>
          <w:rFonts w:hint="eastAsia" w:ascii="仿宋_GB2312" w:hAnsi="仿宋_GB2312" w:eastAsia="仿宋_GB2312" w:cs="仿宋_GB2312"/>
          <w:b/>
          <w:color w:val="000000"/>
          <w:sz w:val="32"/>
          <w:szCs w:val="32"/>
          <w:highlight w:val="none"/>
          <w:u w:val="single"/>
          <w:shd w:val="clear" w:color="auto" w:fill="auto"/>
        </w:rPr>
        <w:t xml:space="preserve"> </w:t>
      </w:r>
    </w:p>
    <w:p w14:paraId="1254913D">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067AD557">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第一条 委托人与咨询人双方责任</w:t>
      </w:r>
    </w:p>
    <w:p w14:paraId="79B5AAA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（一）严格遵守国家法律法规以及廉政建设方面的有关规定。</w:t>
      </w:r>
    </w:p>
    <w:p w14:paraId="081BB08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（二）严格遵守《廉政制度》相关规定。</w:t>
      </w:r>
    </w:p>
    <w:p w14:paraId="13AD2477">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（三）自确定合同主体、签订合同直至合同履行结束全过程，咨询人和委托人双方应全面履行合同内容及廉政协议的各项规定，自觉按合同办事。</w:t>
      </w:r>
    </w:p>
    <w:p w14:paraId="23EB5E2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（四）双方的业务活动坚持公开、公正、诚信、透明的原则，法律认定另有说明规定的商业秘密和合同文件除外。</w:t>
      </w:r>
    </w:p>
    <w:p w14:paraId="7A102DBB">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（五）在业务活动中发现对方有违规、违纪、违法行为的，应及时提醒对方，情节严重的应向其上级主管部门或纪检监察部门举报。</w:t>
      </w:r>
    </w:p>
    <w:p w14:paraId="354A2FCC">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第二条 发包方责任</w:t>
      </w:r>
    </w:p>
    <w:p w14:paraId="62DD1D6A">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委托人单位及工作人员在合同签订及履行过程中应做到：</w:t>
      </w:r>
    </w:p>
    <w:p w14:paraId="555506B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一）严格遵守廉洁从业各项规定，不得以任何形式向承包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03E30F3F">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（二）不得在咨询人单位及承包方所属单位报销任何应由委托人单位或个人支付的费用；</w:t>
      </w:r>
    </w:p>
    <w:p w14:paraId="4BA48EBF">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（三）不得参加可能对公正执行公务有影响的宴请和娱乐活动；</w:t>
      </w:r>
    </w:p>
    <w:p w14:paraId="4FF8861C">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（四）除合同特别约定外，不得向咨询人推销或指定使用各种材料及设备等。</w:t>
      </w:r>
    </w:p>
    <w:p w14:paraId="18E4B5FA">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第三条 承包方责任</w:t>
      </w:r>
    </w:p>
    <w:p w14:paraId="693D7096">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咨询人单位及所属工作人员在合同签订及履行过程中应做到：</w:t>
      </w:r>
    </w:p>
    <w:p w14:paraId="17F48CED">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（一）不得向委托人工作人员及第三方赠送礼品、礼金、有价证券、支付凭证等金钱或实物；</w:t>
      </w:r>
    </w:p>
    <w:p w14:paraId="5A0265A2">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（三）不得为委托人单位或个人购置或者提供通信工具、交通工具、家电、高档办公用品等；</w:t>
      </w:r>
    </w:p>
    <w:p w14:paraId="6A29DA3F">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（三）不得以任何形式、理由为委托人和相关单位报销应由委托人单位或工作人员支付的费用；</w:t>
      </w:r>
    </w:p>
    <w:p w14:paraId="464D0AC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（四）不得组织有可能影响委托人工作人员履行公职职责或可能影响产品质量、廉政建设的宴请、旅游等各种高消费娱乐活动。</w:t>
      </w:r>
    </w:p>
    <w:p w14:paraId="180B7A7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（五）不得为委托人工作人员住房装修、婚丧嫁娶、家属和子女的工作安排以及出国等提供方便。</w:t>
      </w:r>
    </w:p>
    <w:p w14:paraId="5FDD5998">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（六）如遇到委托人工作人员向咨询人单位或个人索要任何不正当利益时，咨询人单位或个人有义务向委托人举报。</w:t>
      </w:r>
    </w:p>
    <w:p w14:paraId="338FE54F">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第四条 违约责任</w:t>
      </w:r>
    </w:p>
    <w:p w14:paraId="133DCB6A">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（一）委托人工作人员有违反本协议书责任行为的，按照管理权限，依据有关法律法规和规定，追究相关法律责任。涉嫌犯罪的，移交司法机关追究刑事责任；给咨询人单位造成经济损失的，应予以赔偿。</w:t>
      </w:r>
    </w:p>
    <w:p w14:paraId="64F0C1A0">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（二）咨询人工作人员或所属单位人员有违反本协议书责任行为的，委托人有权要求咨询人承担</w:t>
      </w:r>
      <w:r>
        <w:rPr>
          <w:rFonts w:hint="eastAsia" w:ascii="仿宋_GB2312" w:hAnsi="仿宋_GB2312" w:eastAsia="仿宋_GB2312" w:cs="仿宋_GB2312"/>
          <w:color w:val="000000"/>
          <w:sz w:val="32"/>
          <w:szCs w:val="32"/>
          <w:highlight w:val="none"/>
          <w:shd w:val="clear" w:color="auto" w:fill="auto"/>
          <w:lang w:val="en-US" w:eastAsia="zh-CN"/>
        </w:rPr>
        <w:t>签约合同价</w:t>
      </w:r>
      <w:r>
        <w:rPr>
          <w:rFonts w:hint="eastAsia" w:ascii="仿宋_GB2312" w:hAnsi="仿宋_GB2312" w:eastAsia="仿宋_GB2312" w:cs="仿宋_GB2312"/>
          <w:color w:val="000000"/>
          <w:sz w:val="32"/>
          <w:szCs w:val="32"/>
          <w:highlight w:val="none"/>
          <w:shd w:val="clear" w:color="auto" w:fill="auto"/>
        </w:rPr>
        <w:t>30%的违约金；违约情况严重而被当地纪检、监察、检察机关立案调查的，除追究咨询人的上述责任外，委托人有权终止与咨询人签订的合作合同；违约金不足以弥补给委托人造成的实际经济损失的，咨询人应当赔偿给委托人造成的实际经济损失。</w:t>
      </w:r>
    </w:p>
    <w:p w14:paraId="0A36C98A">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color w:val="000000"/>
          <w:sz w:val="32"/>
          <w:szCs w:val="32"/>
          <w:highlight w:val="none"/>
          <w:shd w:val="clear" w:color="auto" w:fill="auto"/>
        </w:rPr>
        <w:t xml:space="preserve">（三）双方约定：本协议书由委托人与咨询人双方上级主管部门担任监督单位。违约情况发生下由双方监督单位对本协议书履行情况进行检查，提出在本承诺书规定范围内的裁定意见。  </w:t>
      </w:r>
    </w:p>
    <w:p w14:paraId="292BE8B7">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 xml:space="preserve">第五条 </w:t>
      </w:r>
      <w:r>
        <w:rPr>
          <w:rFonts w:hint="eastAsia" w:ascii="仿宋_GB2312" w:hAnsi="仿宋_GB2312" w:eastAsia="仿宋_GB2312" w:cs="仿宋_GB2312"/>
          <w:color w:val="000000"/>
          <w:sz w:val="32"/>
          <w:szCs w:val="32"/>
          <w:highlight w:val="none"/>
          <w:shd w:val="clear" w:color="auto" w:fill="auto"/>
        </w:rPr>
        <w:t>本协议书作为《合同》的附件，与合同具有同等法律效力，经双方盖章签字后生效。</w:t>
      </w:r>
    </w:p>
    <w:p w14:paraId="6A278028">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 xml:space="preserve">第六条 </w:t>
      </w:r>
      <w:r>
        <w:rPr>
          <w:rFonts w:hint="eastAsia" w:ascii="仿宋_GB2312" w:hAnsi="仿宋_GB2312" w:eastAsia="仿宋_GB2312" w:cs="仿宋_GB2312"/>
          <w:color w:val="000000"/>
          <w:sz w:val="32"/>
          <w:szCs w:val="32"/>
          <w:highlight w:val="none"/>
          <w:shd w:val="clear" w:color="auto" w:fill="auto"/>
        </w:rPr>
        <w:t>本协议书的有效期与主合同的有效期一致。</w:t>
      </w:r>
    </w:p>
    <w:p w14:paraId="75400564">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b/>
          <w:color w:val="000000"/>
          <w:sz w:val="32"/>
          <w:szCs w:val="32"/>
          <w:highlight w:val="none"/>
          <w:shd w:val="clear" w:color="auto" w:fill="auto"/>
        </w:rPr>
        <w:t xml:space="preserve">第七条  </w:t>
      </w:r>
      <w:r>
        <w:rPr>
          <w:rFonts w:hint="eastAsia" w:ascii="仿宋_GB2312" w:hAnsi="仿宋_GB2312" w:eastAsia="仿宋_GB2312" w:cs="仿宋_GB2312"/>
          <w:color w:val="000000"/>
          <w:sz w:val="32"/>
          <w:szCs w:val="32"/>
          <w:highlight w:val="none"/>
          <w:shd w:val="clear" w:color="auto" w:fill="auto"/>
        </w:rPr>
        <w:t>未尽事宜，由双方协商解决。</w:t>
      </w:r>
    </w:p>
    <w:p w14:paraId="457EAC6C">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32"/>
          <w:szCs w:val="32"/>
          <w:highlight w:val="none"/>
          <w:shd w:val="clear" w:color="auto" w:fill="auto"/>
        </w:rPr>
      </w:pPr>
    </w:p>
    <w:p w14:paraId="734DD3A7">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32"/>
          <w:szCs w:val="32"/>
          <w:highlight w:val="none"/>
          <w:shd w:val="clear" w:color="auto" w:fill="auto"/>
        </w:rPr>
      </w:pPr>
    </w:p>
    <w:tbl>
      <w:tblPr>
        <w:tblStyle w:val="9"/>
        <w:tblW w:w="8318" w:type="dxa"/>
        <w:tblInd w:w="0" w:type="dxa"/>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Layout w:type="autofit"/>
        <w:tblCellMar>
          <w:top w:w="0" w:type="dxa"/>
          <w:left w:w="108" w:type="dxa"/>
          <w:bottom w:w="0" w:type="dxa"/>
          <w:right w:w="108" w:type="dxa"/>
        </w:tblCellMar>
      </w:tblPr>
      <w:tblGrid>
        <w:gridCol w:w="4159"/>
        <w:gridCol w:w="4159"/>
      </w:tblGrid>
      <w:tr w14:paraId="1D3B9EA1">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694" w:hRule="atLeast"/>
        </w:trPr>
        <w:tc>
          <w:tcPr>
            <w:tcW w:w="4159" w:type="dxa"/>
            <w:noWrap w:val="0"/>
            <w:vAlign w:val="center"/>
          </w:tcPr>
          <w:p w14:paraId="4C2B9442">
            <w:pPr>
              <w:pageBreakBefore w:val="0"/>
              <w:kinsoku/>
              <w:wordWrap/>
              <w:overflowPunct/>
              <w:topLinePunct w:val="0"/>
              <w:bidi w:val="0"/>
              <w:spacing w:line="560" w:lineRule="exact"/>
              <w:textAlignment w:val="auto"/>
              <w:rPr>
                <w:rFonts w:hint="eastAsia" w:ascii="仿宋_GB2312" w:hAnsi="仿宋_GB2312" w:eastAsia="仿宋_GB2312" w:cs="仿宋_GB2312"/>
                <w:b/>
                <w:bCs/>
                <w:sz w:val="32"/>
                <w:szCs w:val="32"/>
                <w:highlight w:val="none"/>
                <w:shd w:val="clear" w:color="auto" w:fill="auto"/>
              </w:rPr>
            </w:pPr>
            <w:permStart w:id="259" w:edGrp="everyone" w:colFirst="0" w:colLast="0"/>
            <w:permStart w:id="260" w:edGrp="everyone" w:colFirst="1" w:colLast="1"/>
            <w:bookmarkStart w:id="181" w:name="_Hlk66781211"/>
            <w:r>
              <w:rPr>
                <w:rFonts w:hint="eastAsia" w:ascii="仿宋_GB2312" w:hAnsi="仿宋_GB2312" w:eastAsia="仿宋_GB2312" w:cs="仿宋_GB2312"/>
                <w:b/>
                <w:bCs/>
                <w:sz w:val="32"/>
                <w:szCs w:val="32"/>
                <w:highlight w:val="none"/>
                <w:shd w:val="clear" w:color="auto" w:fill="auto"/>
              </w:rPr>
              <w:t>委托人：（盖章）</w:t>
            </w:r>
          </w:p>
          <w:p w14:paraId="4E2F953D">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p>
        </w:tc>
        <w:tc>
          <w:tcPr>
            <w:tcW w:w="4159" w:type="dxa"/>
            <w:noWrap w:val="0"/>
            <w:vAlign w:val="center"/>
          </w:tcPr>
          <w:p w14:paraId="5F51A672">
            <w:pPr>
              <w:pageBreakBefore w:val="0"/>
              <w:kinsoku/>
              <w:wordWrap/>
              <w:overflowPunct/>
              <w:topLinePunct w:val="0"/>
              <w:bidi w:val="0"/>
              <w:spacing w:line="560" w:lineRule="exact"/>
              <w:textAlignment w:val="auto"/>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咨询人：（盖章）</w:t>
            </w:r>
          </w:p>
          <w:p w14:paraId="1A24CAAB">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p>
        </w:tc>
      </w:tr>
      <w:permEnd w:id="259"/>
      <w:permEnd w:id="260"/>
      <w:tr w14:paraId="67752349">
        <w:tblPrEx>
          <w:tblBorders>
            <w:top w:val="dotted" w:color="auto" w:sz="12" w:space="0"/>
            <w:left w:val="dotted" w:color="auto" w:sz="12" w:space="0"/>
            <w:bottom w:val="dotted" w:color="auto" w:sz="12" w:space="0"/>
            <w:right w:val="dotted" w:color="auto" w:sz="12" w:space="0"/>
            <w:insideH w:val="dotted" w:color="auto" w:sz="12" w:space="0"/>
            <w:insideV w:val="dotted" w:color="auto" w:sz="12" w:space="0"/>
          </w:tblBorders>
          <w:tblCellMar>
            <w:top w:w="0" w:type="dxa"/>
            <w:left w:w="108" w:type="dxa"/>
            <w:bottom w:w="0" w:type="dxa"/>
            <w:right w:w="108" w:type="dxa"/>
          </w:tblCellMar>
        </w:tblPrEx>
        <w:trPr>
          <w:trHeight w:val="2251" w:hRule="atLeast"/>
        </w:trPr>
        <w:tc>
          <w:tcPr>
            <w:tcW w:w="4159" w:type="dxa"/>
            <w:noWrap w:val="0"/>
            <w:vAlign w:val="top"/>
          </w:tcPr>
          <w:p w14:paraId="00560D0B">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shd w:val="clear" w:color="auto" w:fill="auto"/>
              </w:rPr>
            </w:pPr>
            <w:permStart w:id="261" w:edGrp="everyone" w:colFirst="0" w:colLast="0"/>
            <w:permStart w:id="262" w:edGrp="everyone" w:colFirst="1" w:colLast="1"/>
            <w:r>
              <w:rPr>
                <w:rFonts w:hint="eastAsia" w:ascii="仿宋_GB2312" w:hAnsi="仿宋_GB2312" w:eastAsia="仿宋_GB2312" w:cs="仿宋_GB2312"/>
                <w:b/>
                <w:bCs/>
                <w:sz w:val="32"/>
                <w:szCs w:val="32"/>
                <w:highlight w:val="none"/>
                <w:shd w:val="clear" w:color="auto" w:fill="auto"/>
              </w:rPr>
              <w:t>法定代表人或其委托代理人</w:t>
            </w:r>
            <w:r>
              <w:rPr>
                <w:rFonts w:hint="eastAsia" w:ascii="仿宋_GB2312" w:hAnsi="仿宋_GB2312" w:eastAsia="仿宋_GB2312" w:cs="仿宋_GB2312"/>
                <w:sz w:val="32"/>
                <w:szCs w:val="32"/>
                <w:highlight w:val="none"/>
                <w:shd w:val="clear" w:color="auto" w:fill="auto"/>
              </w:rPr>
              <w:t>：</w:t>
            </w:r>
          </w:p>
          <w:p w14:paraId="44B02838">
            <w:pPr>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（签字或盖章）</w:t>
            </w:r>
          </w:p>
          <w:p w14:paraId="042CEA02">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shd w:val="clear" w:color="auto" w:fill="auto"/>
              </w:rPr>
            </w:pPr>
          </w:p>
        </w:tc>
        <w:tc>
          <w:tcPr>
            <w:tcW w:w="4159" w:type="dxa"/>
            <w:noWrap w:val="0"/>
            <w:vAlign w:val="top"/>
          </w:tcPr>
          <w:p w14:paraId="09B953A8">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法定代表人或其委托代理人</w:t>
            </w:r>
            <w:r>
              <w:rPr>
                <w:rFonts w:hint="eastAsia" w:ascii="仿宋_GB2312" w:hAnsi="仿宋_GB2312" w:eastAsia="仿宋_GB2312" w:cs="仿宋_GB2312"/>
                <w:sz w:val="32"/>
                <w:szCs w:val="32"/>
                <w:highlight w:val="none"/>
                <w:shd w:val="clear" w:color="auto" w:fill="auto"/>
              </w:rPr>
              <w:t>：</w:t>
            </w:r>
          </w:p>
          <w:p w14:paraId="74E25B48">
            <w:pPr>
              <w:pageBreakBefore w:val="0"/>
              <w:kinsoku/>
              <w:wordWrap/>
              <w:overflowPunct/>
              <w:topLinePunct w:val="0"/>
              <w:bidi w:val="0"/>
              <w:spacing w:line="560" w:lineRule="exact"/>
              <w:jc w:val="center"/>
              <w:textAlignment w:val="auto"/>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（签字或盖章）</w:t>
            </w:r>
          </w:p>
          <w:p w14:paraId="6184130D">
            <w:pPr>
              <w:pageBreakBefore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shd w:val="clear" w:color="auto" w:fill="auto"/>
              </w:rPr>
            </w:pPr>
          </w:p>
        </w:tc>
      </w:tr>
      <w:bookmarkEnd w:id="181"/>
      <w:permEnd w:id="261"/>
      <w:permEnd w:id="262"/>
    </w:tbl>
    <w:p w14:paraId="416577A6">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br w:type="page"/>
      </w:r>
    </w:p>
    <w:p w14:paraId="00BA8E6C">
      <w:pPr>
        <w:pageBreakBefore w:val="0"/>
        <w:widowControl/>
        <w:kinsoku/>
        <w:wordWrap/>
        <w:overflowPunct/>
        <w:topLinePunct w:val="0"/>
        <w:bidi w:val="0"/>
        <w:spacing w:line="560" w:lineRule="exact"/>
        <w:jc w:val="left"/>
        <w:textAlignment w:val="auto"/>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附件I：委托人与咨询人相关人员信息表</w:t>
      </w:r>
    </w:p>
    <w:p w14:paraId="08C7C083">
      <w:pPr>
        <w:pStyle w:val="11"/>
        <w:pageBreakBefore w:val="0"/>
        <w:kinsoku/>
        <w:wordWrap/>
        <w:overflowPunct/>
        <w:topLinePunct w:val="0"/>
        <w:bidi w:val="0"/>
        <w:spacing w:line="560" w:lineRule="exact"/>
        <w:ind w:firstLine="420"/>
        <w:textAlignment w:val="auto"/>
        <w:rPr>
          <w:rFonts w:hint="eastAsia" w:ascii="仿宋_GB2312" w:hAnsi="仿宋_GB2312" w:eastAsia="仿宋_GB2312" w:cs="仿宋_GB2312"/>
          <w:sz w:val="32"/>
          <w:szCs w:val="32"/>
          <w:highlight w:val="none"/>
          <w:shd w:val="clear" w:color="auto" w:fill="auto"/>
        </w:rPr>
      </w:pPr>
    </w:p>
    <w:tbl>
      <w:tblPr>
        <w:tblStyle w:val="9"/>
        <w:tblW w:w="8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516"/>
        <w:gridCol w:w="2856"/>
        <w:gridCol w:w="2857"/>
      </w:tblGrid>
      <w:tr w14:paraId="3D51A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7" w:type="dxa"/>
            <w:noWrap w:val="0"/>
            <w:vAlign w:val="center"/>
          </w:tcPr>
          <w:p w14:paraId="2856A129">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permStart w:id="263" w:edGrp="everyone" w:colFirst="1" w:colLast="1"/>
            <w:permStart w:id="264" w:edGrp="everyone" w:colFirst="2" w:colLast="2"/>
            <w:permStart w:id="265" w:edGrp="everyone" w:colFirst="3" w:colLast="3"/>
          </w:p>
        </w:tc>
        <w:tc>
          <w:tcPr>
            <w:tcW w:w="1516" w:type="dxa"/>
            <w:noWrap w:val="0"/>
            <w:vAlign w:val="center"/>
          </w:tcPr>
          <w:p w14:paraId="41C0BEE7">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p>
        </w:tc>
        <w:tc>
          <w:tcPr>
            <w:tcW w:w="2856" w:type="dxa"/>
            <w:noWrap w:val="0"/>
            <w:vAlign w:val="center"/>
          </w:tcPr>
          <w:p w14:paraId="66D2E436">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委托人</w:t>
            </w:r>
          </w:p>
        </w:tc>
        <w:tc>
          <w:tcPr>
            <w:tcW w:w="2857" w:type="dxa"/>
            <w:noWrap w:val="0"/>
            <w:vAlign w:val="center"/>
          </w:tcPr>
          <w:p w14:paraId="63F900B5">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咨询人</w:t>
            </w:r>
          </w:p>
        </w:tc>
      </w:tr>
      <w:permEnd w:id="263"/>
      <w:permEnd w:id="264"/>
      <w:permEnd w:id="265"/>
      <w:tr w14:paraId="7464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7" w:type="dxa"/>
            <w:vMerge w:val="restart"/>
            <w:noWrap w:val="0"/>
            <w:textDirection w:val="tbRlV"/>
            <w:vAlign w:val="center"/>
          </w:tcPr>
          <w:p w14:paraId="646EB755">
            <w:pPr>
              <w:pStyle w:val="11"/>
              <w:pageBreakBefore w:val="0"/>
              <w:kinsoku/>
              <w:wordWrap/>
              <w:overflowPunct/>
              <w:topLinePunct w:val="0"/>
              <w:bidi w:val="0"/>
              <w:spacing w:line="560" w:lineRule="exact"/>
              <w:ind w:left="113" w:right="113" w:firstLine="0"/>
              <w:jc w:val="center"/>
              <w:textAlignment w:val="auto"/>
              <w:rPr>
                <w:rFonts w:hint="eastAsia" w:ascii="仿宋_GB2312" w:hAnsi="仿宋_GB2312" w:eastAsia="仿宋_GB2312" w:cs="仿宋_GB2312"/>
                <w:b/>
                <w:bCs/>
                <w:sz w:val="32"/>
                <w:szCs w:val="32"/>
                <w:highlight w:val="none"/>
                <w:shd w:val="clear" w:color="auto" w:fill="auto"/>
                <w:lang w:bidi="ar"/>
              </w:rPr>
            </w:pPr>
            <w:permStart w:id="266" w:edGrp="everyone" w:colFirst="1" w:colLast="1"/>
            <w:permStart w:id="267" w:edGrp="everyone" w:colFirst="2" w:colLast="2"/>
            <w:permStart w:id="268" w:edGrp="everyone" w:colFirst="3" w:colLast="3"/>
            <w:r>
              <w:rPr>
                <w:rFonts w:hint="eastAsia" w:ascii="仿宋_GB2312" w:hAnsi="仿宋_GB2312" w:eastAsia="仿宋_GB2312" w:cs="仿宋_GB2312"/>
                <w:b/>
                <w:bCs/>
                <w:sz w:val="32"/>
                <w:szCs w:val="32"/>
                <w:highlight w:val="none"/>
                <w:shd w:val="clear" w:color="auto" w:fill="auto"/>
                <w:lang w:bidi="ar"/>
              </w:rPr>
              <w:t>联系人</w:t>
            </w:r>
          </w:p>
        </w:tc>
        <w:tc>
          <w:tcPr>
            <w:tcW w:w="1516" w:type="dxa"/>
            <w:noWrap w:val="0"/>
            <w:vAlign w:val="top"/>
          </w:tcPr>
          <w:p w14:paraId="4721C821">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姓名</w:t>
            </w:r>
          </w:p>
        </w:tc>
        <w:tc>
          <w:tcPr>
            <w:tcW w:w="2856" w:type="dxa"/>
            <w:noWrap w:val="0"/>
            <w:vAlign w:val="center"/>
          </w:tcPr>
          <w:p w14:paraId="6C87B39C">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eastAsia="zh-CN" w:bidi="ar"/>
              </w:rPr>
            </w:pPr>
          </w:p>
        </w:tc>
        <w:tc>
          <w:tcPr>
            <w:tcW w:w="2857" w:type="dxa"/>
            <w:noWrap w:val="0"/>
            <w:vAlign w:val="center"/>
          </w:tcPr>
          <w:p w14:paraId="6032EE2A">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val="en-US" w:eastAsia="zh-CN" w:bidi="ar"/>
              </w:rPr>
            </w:pPr>
          </w:p>
        </w:tc>
      </w:tr>
      <w:permEnd w:id="266"/>
      <w:permEnd w:id="267"/>
      <w:permEnd w:id="268"/>
      <w:tr w14:paraId="37477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47" w:type="dxa"/>
            <w:vMerge w:val="continue"/>
            <w:noWrap w:val="0"/>
            <w:vAlign w:val="top"/>
          </w:tcPr>
          <w:p w14:paraId="4D750BA1">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69" w:edGrp="everyone" w:colFirst="1" w:colLast="1"/>
            <w:permStart w:id="270" w:edGrp="everyone" w:colFirst="2" w:colLast="2"/>
            <w:permStart w:id="271" w:edGrp="everyone" w:colFirst="3" w:colLast="3"/>
          </w:p>
        </w:tc>
        <w:tc>
          <w:tcPr>
            <w:tcW w:w="1516" w:type="dxa"/>
            <w:noWrap w:val="0"/>
            <w:vAlign w:val="top"/>
          </w:tcPr>
          <w:p w14:paraId="2B1B1353">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电话</w:t>
            </w:r>
          </w:p>
        </w:tc>
        <w:tc>
          <w:tcPr>
            <w:tcW w:w="2856" w:type="dxa"/>
            <w:noWrap w:val="0"/>
            <w:vAlign w:val="center"/>
          </w:tcPr>
          <w:p w14:paraId="232E0FFC">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val="en-US" w:eastAsia="zh-CN" w:bidi="ar"/>
              </w:rPr>
            </w:pPr>
          </w:p>
        </w:tc>
        <w:tc>
          <w:tcPr>
            <w:tcW w:w="2857" w:type="dxa"/>
            <w:noWrap w:val="0"/>
            <w:vAlign w:val="center"/>
          </w:tcPr>
          <w:p w14:paraId="41BB53F3">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69"/>
      <w:permEnd w:id="270"/>
      <w:permEnd w:id="271"/>
      <w:tr w14:paraId="187A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7" w:type="dxa"/>
            <w:vMerge w:val="continue"/>
            <w:noWrap w:val="0"/>
            <w:vAlign w:val="top"/>
          </w:tcPr>
          <w:p w14:paraId="1474BA64">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72" w:edGrp="everyone" w:colFirst="1" w:colLast="1"/>
            <w:permStart w:id="273" w:edGrp="everyone" w:colFirst="2" w:colLast="2"/>
            <w:permStart w:id="274" w:edGrp="everyone" w:colFirst="3" w:colLast="3"/>
          </w:p>
        </w:tc>
        <w:tc>
          <w:tcPr>
            <w:tcW w:w="1516" w:type="dxa"/>
            <w:noWrap w:val="0"/>
            <w:vAlign w:val="top"/>
          </w:tcPr>
          <w:p w14:paraId="4266760C">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地址</w:t>
            </w:r>
          </w:p>
        </w:tc>
        <w:tc>
          <w:tcPr>
            <w:tcW w:w="2856" w:type="dxa"/>
            <w:noWrap w:val="0"/>
            <w:vAlign w:val="center"/>
          </w:tcPr>
          <w:p w14:paraId="6B98E95C">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eastAsia="zh-CN" w:bidi="ar"/>
              </w:rPr>
            </w:pPr>
          </w:p>
        </w:tc>
        <w:tc>
          <w:tcPr>
            <w:tcW w:w="2857" w:type="dxa"/>
            <w:noWrap w:val="0"/>
            <w:vAlign w:val="center"/>
          </w:tcPr>
          <w:p w14:paraId="03BEEE40">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72"/>
      <w:permEnd w:id="273"/>
      <w:permEnd w:id="274"/>
      <w:tr w14:paraId="4C6F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7" w:type="dxa"/>
            <w:vMerge w:val="continue"/>
            <w:noWrap w:val="0"/>
            <w:vAlign w:val="top"/>
          </w:tcPr>
          <w:p w14:paraId="2F577623">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75" w:edGrp="everyone" w:colFirst="1" w:colLast="1"/>
            <w:permStart w:id="276" w:edGrp="everyone" w:colFirst="2" w:colLast="2"/>
            <w:permStart w:id="277" w:edGrp="everyone" w:colFirst="3" w:colLast="3"/>
          </w:p>
        </w:tc>
        <w:tc>
          <w:tcPr>
            <w:tcW w:w="1516" w:type="dxa"/>
            <w:noWrap w:val="0"/>
            <w:vAlign w:val="top"/>
          </w:tcPr>
          <w:p w14:paraId="3BF64F8C">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邮箱</w:t>
            </w:r>
          </w:p>
        </w:tc>
        <w:tc>
          <w:tcPr>
            <w:tcW w:w="2856" w:type="dxa"/>
            <w:noWrap w:val="0"/>
            <w:vAlign w:val="center"/>
          </w:tcPr>
          <w:p w14:paraId="55DE7519">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val="en-US" w:eastAsia="zh-CN" w:bidi="ar"/>
              </w:rPr>
            </w:pPr>
          </w:p>
        </w:tc>
        <w:tc>
          <w:tcPr>
            <w:tcW w:w="2857" w:type="dxa"/>
            <w:noWrap w:val="0"/>
            <w:vAlign w:val="center"/>
          </w:tcPr>
          <w:p w14:paraId="1C6970FE">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75"/>
      <w:permEnd w:id="276"/>
      <w:permEnd w:id="277"/>
      <w:tr w14:paraId="01F7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7" w:type="dxa"/>
            <w:vMerge w:val="restart"/>
            <w:noWrap w:val="0"/>
            <w:textDirection w:val="tbRlV"/>
            <w:vAlign w:val="center"/>
          </w:tcPr>
          <w:p w14:paraId="1FD93EBD">
            <w:pPr>
              <w:pStyle w:val="11"/>
              <w:pageBreakBefore w:val="0"/>
              <w:kinsoku/>
              <w:wordWrap/>
              <w:overflowPunct/>
              <w:topLinePunct w:val="0"/>
              <w:bidi w:val="0"/>
              <w:spacing w:line="560" w:lineRule="exact"/>
              <w:ind w:left="113" w:right="113" w:firstLine="0"/>
              <w:textAlignment w:val="auto"/>
              <w:rPr>
                <w:rFonts w:hint="eastAsia" w:ascii="仿宋_GB2312" w:hAnsi="仿宋_GB2312" w:eastAsia="仿宋_GB2312" w:cs="仿宋_GB2312"/>
                <w:b/>
                <w:bCs/>
                <w:sz w:val="32"/>
                <w:szCs w:val="32"/>
                <w:highlight w:val="none"/>
                <w:shd w:val="clear" w:color="auto" w:fill="auto"/>
                <w:lang w:bidi="ar"/>
              </w:rPr>
            </w:pPr>
            <w:permStart w:id="278" w:edGrp="everyone" w:colFirst="1" w:colLast="1"/>
            <w:permStart w:id="279" w:edGrp="everyone" w:colFirst="2" w:colLast="2"/>
            <w:permStart w:id="280" w:edGrp="everyone" w:colFirst="3" w:colLast="3"/>
            <w:r>
              <w:rPr>
                <w:rFonts w:hint="eastAsia" w:ascii="仿宋_GB2312" w:hAnsi="仿宋_GB2312" w:eastAsia="仿宋_GB2312" w:cs="仿宋_GB2312"/>
                <w:b/>
                <w:bCs/>
                <w:sz w:val="32"/>
                <w:szCs w:val="32"/>
                <w:highlight w:val="none"/>
                <w:shd w:val="clear" w:color="auto" w:fill="auto"/>
                <w:lang w:bidi="ar"/>
              </w:rPr>
              <w:t>项目代表（项目负责人）</w:t>
            </w:r>
          </w:p>
        </w:tc>
        <w:tc>
          <w:tcPr>
            <w:tcW w:w="1516" w:type="dxa"/>
            <w:noWrap w:val="0"/>
            <w:vAlign w:val="top"/>
          </w:tcPr>
          <w:p w14:paraId="4F902ADA">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姓名</w:t>
            </w:r>
          </w:p>
        </w:tc>
        <w:tc>
          <w:tcPr>
            <w:tcW w:w="2856" w:type="dxa"/>
            <w:noWrap w:val="0"/>
            <w:vAlign w:val="center"/>
          </w:tcPr>
          <w:p w14:paraId="74143A8F">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c>
          <w:tcPr>
            <w:tcW w:w="2857" w:type="dxa"/>
            <w:noWrap w:val="0"/>
            <w:vAlign w:val="center"/>
          </w:tcPr>
          <w:p w14:paraId="0E73CD55">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78"/>
      <w:permEnd w:id="279"/>
      <w:permEnd w:id="280"/>
      <w:tr w14:paraId="4CA1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847" w:type="dxa"/>
            <w:vMerge w:val="continue"/>
            <w:noWrap w:val="0"/>
            <w:vAlign w:val="top"/>
          </w:tcPr>
          <w:p w14:paraId="1C10F2BB">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81" w:edGrp="everyone" w:colFirst="1" w:colLast="1"/>
            <w:permStart w:id="282" w:edGrp="everyone" w:colFirst="2" w:colLast="2"/>
            <w:permStart w:id="283" w:edGrp="everyone" w:colFirst="3" w:colLast="3"/>
          </w:p>
        </w:tc>
        <w:tc>
          <w:tcPr>
            <w:tcW w:w="1516" w:type="dxa"/>
            <w:noWrap w:val="0"/>
            <w:vAlign w:val="top"/>
          </w:tcPr>
          <w:p w14:paraId="78AA5E71">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执业资格及等级</w:t>
            </w:r>
          </w:p>
        </w:tc>
        <w:tc>
          <w:tcPr>
            <w:tcW w:w="2856" w:type="dxa"/>
            <w:noWrap w:val="0"/>
            <w:vAlign w:val="center"/>
          </w:tcPr>
          <w:p w14:paraId="5DC9FBA9">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c>
          <w:tcPr>
            <w:tcW w:w="2857" w:type="dxa"/>
            <w:noWrap w:val="0"/>
            <w:vAlign w:val="center"/>
          </w:tcPr>
          <w:p w14:paraId="1CC56BC3">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81"/>
      <w:permEnd w:id="282"/>
      <w:permEnd w:id="283"/>
      <w:tr w14:paraId="4FC8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47" w:type="dxa"/>
            <w:vMerge w:val="continue"/>
            <w:noWrap w:val="0"/>
            <w:vAlign w:val="top"/>
          </w:tcPr>
          <w:p w14:paraId="3DDFB7F1">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84" w:edGrp="everyone" w:colFirst="1" w:colLast="1"/>
            <w:permStart w:id="285" w:edGrp="everyone" w:colFirst="2" w:colLast="2"/>
            <w:permStart w:id="286" w:edGrp="everyone" w:colFirst="3" w:colLast="3"/>
          </w:p>
        </w:tc>
        <w:tc>
          <w:tcPr>
            <w:tcW w:w="1516" w:type="dxa"/>
            <w:noWrap w:val="0"/>
            <w:vAlign w:val="top"/>
          </w:tcPr>
          <w:p w14:paraId="25FEF7E2">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注册证书号</w:t>
            </w:r>
          </w:p>
        </w:tc>
        <w:tc>
          <w:tcPr>
            <w:tcW w:w="2856" w:type="dxa"/>
            <w:noWrap w:val="0"/>
            <w:vAlign w:val="center"/>
          </w:tcPr>
          <w:p w14:paraId="47ABE863">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c>
          <w:tcPr>
            <w:tcW w:w="2857" w:type="dxa"/>
            <w:noWrap w:val="0"/>
            <w:vAlign w:val="center"/>
          </w:tcPr>
          <w:p w14:paraId="7F0BAE0A">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84"/>
      <w:permEnd w:id="285"/>
      <w:permEnd w:id="286"/>
      <w:tr w14:paraId="34C6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47" w:type="dxa"/>
            <w:vMerge w:val="continue"/>
            <w:noWrap w:val="0"/>
            <w:vAlign w:val="top"/>
          </w:tcPr>
          <w:p w14:paraId="53D1509D">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87" w:edGrp="everyone" w:colFirst="1" w:colLast="1"/>
            <w:permStart w:id="288" w:edGrp="everyone" w:colFirst="2" w:colLast="2"/>
            <w:permStart w:id="289" w:edGrp="everyone" w:colFirst="3" w:colLast="3"/>
          </w:p>
        </w:tc>
        <w:tc>
          <w:tcPr>
            <w:tcW w:w="1516" w:type="dxa"/>
            <w:noWrap w:val="0"/>
            <w:vAlign w:val="top"/>
          </w:tcPr>
          <w:p w14:paraId="0269FC74">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电话</w:t>
            </w:r>
          </w:p>
        </w:tc>
        <w:tc>
          <w:tcPr>
            <w:tcW w:w="2856" w:type="dxa"/>
            <w:noWrap w:val="0"/>
            <w:vAlign w:val="center"/>
          </w:tcPr>
          <w:p w14:paraId="488B3F29">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c>
          <w:tcPr>
            <w:tcW w:w="2857" w:type="dxa"/>
            <w:noWrap w:val="0"/>
            <w:vAlign w:val="center"/>
          </w:tcPr>
          <w:p w14:paraId="03A57195">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87"/>
      <w:permEnd w:id="288"/>
      <w:permEnd w:id="289"/>
      <w:tr w14:paraId="4C42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847" w:type="dxa"/>
            <w:vMerge w:val="continue"/>
            <w:noWrap w:val="0"/>
            <w:vAlign w:val="top"/>
          </w:tcPr>
          <w:p w14:paraId="69E0A1E1">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90" w:edGrp="everyone" w:colFirst="1" w:colLast="1"/>
            <w:permStart w:id="291" w:edGrp="everyone" w:colFirst="2" w:colLast="2"/>
            <w:permStart w:id="292" w:edGrp="everyone" w:colFirst="3" w:colLast="3"/>
          </w:p>
        </w:tc>
        <w:tc>
          <w:tcPr>
            <w:tcW w:w="1516" w:type="dxa"/>
            <w:noWrap w:val="0"/>
            <w:vAlign w:val="top"/>
          </w:tcPr>
          <w:p w14:paraId="1B1875B4">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邮箱</w:t>
            </w:r>
          </w:p>
        </w:tc>
        <w:tc>
          <w:tcPr>
            <w:tcW w:w="2856" w:type="dxa"/>
            <w:noWrap w:val="0"/>
            <w:vAlign w:val="center"/>
          </w:tcPr>
          <w:p w14:paraId="58656513">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c>
          <w:tcPr>
            <w:tcW w:w="2857" w:type="dxa"/>
            <w:noWrap w:val="0"/>
            <w:vAlign w:val="center"/>
          </w:tcPr>
          <w:p w14:paraId="03AE1378">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90"/>
      <w:permEnd w:id="291"/>
      <w:permEnd w:id="292"/>
      <w:tr w14:paraId="6D848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847" w:type="dxa"/>
            <w:vMerge w:val="continue"/>
            <w:noWrap w:val="0"/>
            <w:vAlign w:val="top"/>
          </w:tcPr>
          <w:p w14:paraId="155B1E2B">
            <w:pPr>
              <w:pStyle w:val="11"/>
              <w:pageBreakBefore w:val="0"/>
              <w:kinsoku/>
              <w:wordWrap/>
              <w:overflowPunct/>
              <w:topLinePunct w:val="0"/>
              <w:bidi w:val="0"/>
              <w:spacing w:line="560" w:lineRule="exact"/>
              <w:ind w:firstLine="0"/>
              <w:jc w:val="left"/>
              <w:textAlignment w:val="auto"/>
              <w:rPr>
                <w:rFonts w:hint="eastAsia" w:ascii="仿宋_GB2312" w:hAnsi="仿宋_GB2312" w:eastAsia="仿宋_GB2312" w:cs="仿宋_GB2312"/>
                <w:b/>
                <w:bCs/>
                <w:sz w:val="32"/>
                <w:szCs w:val="32"/>
                <w:highlight w:val="none"/>
                <w:shd w:val="clear" w:color="auto" w:fill="auto"/>
                <w:lang w:bidi="ar"/>
              </w:rPr>
            </w:pPr>
            <w:permStart w:id="293" w:edGrp="everyone" w:colFirst="1" w:colLast="1"/>
            <w:permStart w:id="294" w:edGrp="everyone" w:colFirst="2" w:colLast="2"/>
            <w:permStart w:id="295" w:edGrp="everyone" w:colFirst="3" w:colLast="3"/>
          </w:p>
        </w:tc>
        <w:tc>
          <w:tcPr>
            <w:tcW w:w="1516" w:type="dxa"/>
            <w:noWrap w:val="0"/>
            <w:vAlign w:val="top"/>
          </w:tcPr>
          <w:p w14:paraId="072D994D">
            <w:pPr>
              <w:pStyle w:val="11"/>
              <w:pageBreakBefore w:val="0"/>
              <w:kinsoku/>
              <w:wordWrap/>
              <w:overflowPunct/>
              <w:topLinePunct w:val="0"/>
              <w:bidi w:val="0"/>
              <w:spacing w:line="560" w:lineRule="exact"/>
              <w:ind w:firstLine="0"/>
              <w:jc w:val="center"/>
              <w:textAlignment w:val="auto"/>
              <w:rPr>
                <w:rFonts w:hint="eastAsia" w:ascii="仿宋_GB2312" w:hAnsi="仿宋_GB2312" w:eastAsia="仿宋_GB2312" w:cs="仿宋_GB2312"/>
                <w:b/>
                <w:bCs/>
                <w:sz w:val="32"/>
                <w:szCs w:val="32"/>
                <w:highlight w:val="none"/>
                <w:shd w:val="clear" w:color="auto" w:fill="auto"/>
                <w:lang w:bidi="ar"/>
              </w:rPr>
            </w:pPr>
            <w:r>
              <w:rPr>
                <w:rFonts w:hint="eastAsia" w:ascii="仿宋_GB2312" w:hAnsi="仿宋_GB2312" w:eastAsia="仿宋_GB2312" w:cs="仿宋_GB2312"/>
                <w:b/>
                <w:bCs/>
                <w:sz w:val="32"/>
                <w:szCs w:val="32"/>
                <w:highlight w:val="none"/>
                <w:shd w:val="clear" w:color="auto" w:fill="auto"/>
                <w:lang w:bidi="ar"/>
              </w:rPr>
              <w:t>地址</w:t>
            </w:r>
          </w:p>
        </w:tc>
        <w:tc>
          <w:tcPr>
            <w:tcW w:w="2856" w:type="dxa"/>
            <w:noWrap w:val="0"/>
            <w:vAlign w:val="center"/>
          </w:tcPr>
          <w:p w14:paraId="17E3C505">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c>
          <w:tcPr>
            <w:tcW w:w="2857" w:type="dxa"/>
            <w:noWrap w:val="0"/>
            <w:vAlign w:val="center"/>
          </w:tcPr>
          <w:p w14:paraId="5C97CE04">
            <w:pPr>
              <w:pStyle w:val="11"/>
              <w:pageBreakBefore w:val="0"/>
              <w:kinsoku/>
              <w:wordWrap/>
              <w:overflowPunct/>
              <w:topLinePunct w:val="0"/>
              <w:bidi w:val="0"/>
              <w:spacing w:line="560" w:lineRule="exact"/>
              <w:ind w:firstLine="0"/>
              <w:textAlignment w:val="auto"/>
              <w:rPr>
                <w:rFonts w:hint="eastAsia" w:ascii="仿宋_GB2312" w:hAnsi="仿宋_GB2312" w:eastAsia="仿宋_GB2312" w:cs="仿宋_GB2312"/>
                <w:sz w:val="32"/>
                <w:szCs w:val="32"/>
                <w:highlight w:val="none"/>
                <w:shd w:val="clear" w:color="auto" w:fill="auto"/>
                <w:lang w:bidi="ar"/>
              </w:rPr>
            </w:pPr>
          </w:p>
        </w:tc>
      </w:tr>
      <w:permEnd w:id="293"/>
      <w:permEnd w:id="294"/>
      <w:permEnd w:id="295"/>
    </w:tbl>
    <w:p w14:paraId="14BA474F">
      <w:pPr>
        <w:pageBreakBefore w:val="0"/>
        <w:kinsoku/>
        <w:wordWrap/>
        <w:overflowPunct/>
        <w:topLinePunct w:val="0"/>
        <w:bidi w:val="0"/>
        <w:spacing w:line="560" w:lineRule="exact"/>
        <w:textAlignment w:val="auto"/>
        <w:rPr>
          <w:rFonts w:hint="eastAsia" w:ascii="仿宋_GB2312" w:hAnsi="仿宋_GB2312" w:eastAsia="仿宋_GB2312" w:cs="仿宋_GB2312"/>
          <w:sz w:val="32"/>
          <w:szCs w:val="32"/>
          <w:highlight w:val="none"/>
          <w:shd w:val="clear" w:color="auto" w:fill="auto"/>
        </w:rPr>
      </w:pPr>
    </w:p>
    <w:p w14:paraId="70ECC9B7">
      <w:pPr>
        <w:pStyle w:val="3"/>
        <w:pageBreakBefore w:val="0"/>
        <w:kinsoku/>
        <w:wordWrap/>
        <w:overflowPunct/>
        <w:topLinePunct w:val="0"/>
        <w:bidi w:val="0"/>
        <w:spacing w:line="560" w:lineRule="exact"/>
        <w:textAlignment w:val="auto"/>
        <w:rPr>
          <w:highlight w:val="none"/>
          <w:shd w:val="clear" w:color="auto" w:fill="auto"/>
        </w:rPr>
      </w:pPr>
    </w:p>
    <w:p w14:paraId="762DA91C">
      <w:pPr>
        <w:pStyle w:val="3"/>
        <w:pageBreakBefore w:val="0"/>
        <w:kinsoku/>
        <w:wordWrap/>
        <w:overflowPunct/>
        <w:topLinePunct w:val="0"/>
        <w:bidi w:val="0"/>
        <w:spacing w:line="560" w:lineRule="exact"/>
        <w:textAlignment w:val="auto"/>
        <w:rPr>
          <w:highlight w:val="none"/>
          <w:shd w:val="clear" w:color="auto" w:fill="auto"/>
        </w:rPr>
      </w:pPr>
    </w:p>
    <w:p w14:paraId="45EFDF62">
      <w:pPr>
        <w:pageBreakBefore w:val="0"/>
        <w:kinsoku/>
        <w:wordWrap/>
        <w:overflowPunct/>
        <w:topLinePunct w:val="0"/>
        <w:bidi w:val="0"/>
        <w:spacing w:line="560" w:lineRule="exact"/>
        <w:textAlignment w:val="auto"/>
        <w:rPr>
          <w:highlight w:val="none"/>
          <w:shd w:val="clear" w:color="auto" w:fill="auto"/>
        </w:rPr>
      </w:pPr>
    </w:p>
    <w:p w14:paraId="0439FEB1">
      <w:pPr>
        <w:rPr>
          <w:rFonts w:hint="eastAsia" w:ascii="仿宋_GB2312" w:hAnsi="仿宋_GB2312" w:eastAsia="仿宋_GB2312" w:cs="仿宋_GB2312"/>
          <w:b/>
          <w:bCs/>
          <w:sz w:val="32"/>
          <w:szCs w:val="32"/>
          <w:highlight w:val="none"/>
          <w:shd w:val="clear" w:color="auto" w:fill="auto"/>
        </w:rPr>
      </w:pPr>
    </w:p>
    <w:p w14:paraId="55CC1574">
      <w:pPr>
        <w:rPr>
          <w:rFonts w:hint="eastAsia" w:ascii="仿宋_GB2312" w:hAnsi="仿宋_GB2312" w:eastAsia="仿宋_GB2312" w:cs="仿宋_GB2312"/>
          <w:b/>
          <w:bCs/>
          <w:sz w:val="32"/>
          <w:szCs w:val="32"/>
          <w:highlight w:val="none"/>
          <w:shd w:val="clear" w:color="auto" w:fill="auto"/>
        </w:rPr>
      </w:pPr>
    </w:p>
    <w:p w14:paraId="08D58180">
      <w:pPr>
        <w:rPr>
          <w:rFonts w:hint="eastAsia" w:ascii="仿宋_GB2312" w:hAnsi="仿宋_GB2312" w:eastAsia="仿宋_GB2312" w:cs="仿宋_GB2312"/>
          <w:b/>
          <w:bCs/>
          <w:sz w:val="32"/>
          <w:szCs w:val="32"/>
          <w:highlight w:val="none"/>
          <w:shd w:val="clear" w:color="auto" w:fill="auto"/>
        </w:rPr>
      </w:pPr>
    </w:p>
    <w:p w14:paraId="2F3F2028">
      <w:pPr>
        <w:rPr>
          <w:rFonts w:hint="eastAsia" w:ascii="仿宋_GB2312" w:hAnsi="仿宋_GB2312" w:eastAsia="仿宋_GB2312" w:cs="仿宋_GB2312"/>
          <w:b/>
          <w:bCs/>
          <w:sz w:val="32"/>
          <w:szCs w:val="32"/>
          <w:highlight w:val="none"/>
          <w:shd w:val="clear" w:color="auto" w:fill="auto"/>
        </w:rPr>
      </w:pPr>
    </w:p>
    <w:p w14:paraId="561A1DD6">
      <w:pPr>
        <w:rPr>
          <w:rFonts w:hint="eastAsia" w:ascii="仿宋_GB2312" w:hAnsi="仿宋_GB2312" w:eastAsia="仿宋_GB2312" w:cs="仿宋_GB2312"/>
          <w:b/>
          <w:bCs/>
          <w:sz w:val="32"/>
          <w:szCs w:val="32"/>
          <w:highlight w:val="none"/>
          <w:shd w:val="clear" w:color="auto" w:fill="auto"/>
        </w:rPr>
      </w:pPr>
    </w:p>
    <w:p w14:paraId="36C35D4D">
      <w:pPr>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附件</w:t>
      </w:r>
      <w:r>
        <w:rPr>
          <w:rFonts w:hint="eastAsia" w:ascii="仿宋_GB2312" w:hAnsi="仿宋_GB2312" w:eastAsia="仿宋_GB2312" w:cs="仿宋_GB2312"/>
          <w:b/>
          <w:bCs/>
          <w:sz w:val="32"/>
          <w:szCs w:val="32"/>
          <w:highlight w:val="none"/>
          <w:shd w:val="clear" w:color="auto" w:fill="auto"/>
          <w:lang w:val="en-US" w:eastAsia="zh-CN"/>
        </w:rPr>
        <w:t>J</w:t>
      </w:r>
    </w:p>
    <w:p w14:paraId="5C632B60">
      <w:pPr>
        <w:spacing w:line="560" w:lineRule="exact"/>
        <w:jc w:val="center"/>
        <w:rPr>
          <w:rFonts w:hint="eastAsia" w:ascii="方正小标宋简体" w:hAnsi="方正小标宋简体" w:eastAsia="方正小标宋简体" w:cs="方正小标宋简体"/>
          <w:color w:val="000000"/>
          <w:sz w:val="44"/>
          <w:szCs w:val="44"/>
          <w:highlight w:val="none"/>
          <w:shd w:val="clear" w:color="auto" w:fill="auto"/>
          <w:lang w:val="en-US" w:eastAsia="zh-CN"/>
        </w:rPr>
      </w:pPr>
      <w:r>
        <w:rPr>
          <w:rFonts w:hint="eastAsia" w:ascii="方正小标宋简体" w:hAnsi="方正小标宋简体" w:eastAsia="方正小标宋简体" w:cs="方正小标宋简体"/>
          <w:color w:val="000000"/>
          <w:sz w:val="44"/>
          <w:szCs w:val="44"/>
          <w:highlight w:val="none"/>
          <w:shd w:val="clear" w:color="auto" w:fill="auto"/>
          <w:lang w:val="en-US" w:eastAsia="zh-CN"/>
        </w:rPr>
        <w:t>咨询人信用承诺函</w:t>
      </w:r>
    </w:p>
    <w:p w14:paraId="395253E1">
      <w:pPr>
        <w:jc w:val="center"/>
        <w:rPr>
          <w:rFonts w:hint="eastAsia" w:ascii="仿宋_GB2312" w:hAnsi="仿宋_GB2312" w:eastAsia="仿宋_GB2312" w:cs="仿宋_GB2312"/>
          <w:b w:val="0"/>
          <w:bCs w:val="0"/>
          <w:snapToGrid/>
          <w:color w:val="auto"/>
          <w:spacing w:val="0"/>
          <w:kern w:val="2"/>
          <w:sz w:val="24"/>
          <w:szCs w:val="24"/>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24"/>
          <w:szCs w:val="24"/>
          <w:highlight w:val="none"/>
          <w:shd w:val="clear" w:color="auto" w:fill="auto"/>
          <w:lang w:val="en-US" w:eastAsia="zh-CN" w:bidi="ar-SA"/>
        </w:rPr>
        <w:t>（非公开招标项目）</w:t>
      </w:r>
    </w:p>
    <w:p w14:paraId="37B42DB2">
      <w:pPr>
        <w:jc w:val="center"/>
        <w:rPr>
          <w:rFonts w:hint="default" w:ascii="仿宋_GB2312" w:hAnsi="仿宋_GB2312" w:eastAsia="仿宋_GB2312" w:cs="仿宋_GB2312"/>
          <w:b/>
          <w:bCs/>
          <w:snapToGrid/>
          <w:color w:val="auto"/>
          <w:spacing w:val="0"/>
          <w:kern w:val="2"/>
          <w:sz w:val="32"/>
          <w:szCs w:val="32"/>
          <w:highlight w:val="none"/>
          <w:shd w:val="clear" w:color="auto" w:fill="auto"/>
          <w:lang w:val="en-US" w:eastAsia="zh-CN" w:bidi="ar-SA"/>
        </w:rPr>
      </w:pPr>
      <w:r>
        <w:rPr>
          <w:rFonts w:hint="default" w:ascii="仿宋_GB2312" w:hAnsi="仿宋_GB2312" w:eastAsia="仿宋_GB2312" w:cs="仿宋_GB2312"/>
          <w:b w:val="0"/>
          <w:bCs w:val="0"/>
          <w:snapToGrid/>
          <w:color w:val="auto"/>
          <w:spacing w:val="0"/>
          <w:kern w:val="2"/>
          <w:sz w:val="24"/>
          <w:szCs w:val="24"/>
          <w:highlight w:val="none"/>
          <w:shd w:val="clear" w:color="auto" w:fill="auto"/>
          <w:lang w:val="en-US" w:eastAsia="zh-CN" w:bidi="ar-SA"/>
        </w:rPr>
        <w:t>​</w:t>
      </w:r>
    </w:p>
    <w:p w14:paraId="1908AD2B">
      <w:pPr>
        <w:spacing w:line="560" w:lineRule="exact"/>
        <w:ind w:firstLine="0" w:firstLineChars="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致：</w:t>
      </w:r>
      <w:permStart w:id="296" w:edGrp="everyone"/>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委托人</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名称]</w:t>
      </w:r>
      <w:permEnd w:id="296"/>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p>
    <w:p w14:paraId="27386E93">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permStart w:id="297" w:edGrp="everyone"/>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咨询人</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名称]</w:t>
      </w:r>
      <w:permEnd w:id="297"/>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（以下简称“我</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）参与</w:t>
      </w:r>
      <w:permStart w:id="298" w:edGrp="everyone"/>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[项目名称]</w:t>
      </w:r>
      <w:permEnd w:id="298"/>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竞价比选/询比价</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活动，</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现我司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郑重承诺</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如下</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p>
    <w:p w14:paraId="6C58EAE5">
      <w:pPr>
        <w:keepNext w:val="0"/>
        <w:keepLines w:val="0"/>
        <w:pageBreakBefore w:val="0"/>
        <w:numPr>
          <w:ilvl w:val="0"/>
          <w:numId w:val="0"/>
        </w:numPr>
        <w:kinsoku/>
        <w:wordWrap/>
        <w:overflowPunct/>
        <w:topLinePunct w:val="0"/>
        <w:autoSpaceDE/>
        <w:autoSpaceDN/>
        <w:bidi w:val="0"/>
        <w:adjustRightInd w:val="0"/>
        <w:snapToGrid w:val="0"/>
        <w:spacing w:line="560" w:lineRule="exact"/>
        <w:ind w:leftChars="0" w:firstLine="640" w:firstLineChars="200"/>
        <w:jc w:val="both"/>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一、</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截至本承诺函</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签署</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之日，</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我司不存在下列情形：</w:t>
      </w:r>
    </w:p>
    <w:p w14:paraId="31FF5AEA">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咨询人相互串通投标或者与委托人串通投标的，咨询人向委托人或者评标委员会成员行贿的；</w:t>
      </w:r>
    </w:p>
    <w:p w14:paraId="7592697D">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以他人名义投标</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、提供虚假材料</w:t>
      </w:r>
      <w:r>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或者以其他方式弄虚作假的</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w:t>
      </w:r>
    </w:p>
    <w:p w14:paraId="1D0B8541">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出让或者出租资格、资质证书供他人投标的；</w:t>
      </w:r>
    </w:p>
    <w:p w14:paraId="224AE8F3">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咨询人</w:t>
      </w:r>
      <w:r>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或者其他利害关系人捏造事实、伪造材料或者以非法手段取得证明材料进行投诉</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，给他人造成损失的；</w:t>
      </w:r>
    </w:p>
    <w:p w14:paraId="5321AA35">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成交人</w:t>
      </w:r>
      <w:r>
        <w:rPr>
          <w:rFonts w:hint="default" w:ascii="仿宋_GB2312" w:hAnsi="仿宋_GB2312" w:eastAsia="仿宋_GB2312" w:cs="仿宋_GB2312"/>
          <w:snapToGrid w:val="0"/>
          <w:color w:val="auto"/>
          <w:spacing w:val="-1"/>
          <w:kern w:val="0"/>
          <w:sz w:val="32"/>
          <w:szCs w:val="32"/>
          <w:highlight w:val="none"/>
          <w:shd w:val="clear" w:color="auto" w:fill="auto"/>
          <w:lang w:bidi="ar"/>
        </w:rPr>
        <w:t>将</w:t>
      </w: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成交</w:t>
      </w:r>
      <w:r>
        <w:rPr>
          <w:rFonts w:hint="default" w:ascii="仿宋_GB2312" w:hAnsi="仿宋_GB2312" w:eastAsia="仿宋_GB2312" w:cs="仿宋_GB2312"/>
          <w:snapToGrid w:val="0"/>
          <w:color w:val="auto"/>
          <w:spacing w:val="-1"/>
          <w:kern w:val="0"/>
          <w:sz w:val="32"/>
          <w:szCs w:val="32"/>
          <w:highlight w:val="none"/>
          <w:shd w:val="clear" w:color="auto" w:fill="auto"/>
          <w:lang w:bidi="ar"/>
        </w:rPr>
        <w:t>项目转让给他人的，将</w:t>
      </w: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成交</w:t>
      </w:r>
      <w:r>
        <w:rPr>
          <w:rFonts w:hint="default" w:ascii="仿宋_GB2312" w:hAnsi="仿宋_GB2312" w:eastAsia="仿宋_GB2312" w:cs="仿宋_GB2312"/>
          <w:snapToGrid w:val="0"/>
          <w:color w:val="auto"/>
          <w:spacing w:val="-1"/>
          <w:kern w:val="0"/>
          <w:sz w:val="32"/>
          <w:szCs w:val="32"/>
          <w:highlight w:val="none"/>
          <w:shd w:val="clear" w:color="auto" w:fill="auto"/>
          <w:lang w:bidi="ar"/>
        </w:rPr>
        <w:t>项目肢解后分别转让给他人的，违反《中华人民共和国招标投标法》规定将</w:t>
      </w: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成交</w:t>
      </w:r>
      <w:r>
        <w:rPr>
          <w:rFonts w:hint="default" w:ascii="仿宋_GB2312" w:hAnsi="仿宋_GB2312" w:eastAsia="仿宋_GB2312" w:cs="仿宋_GB2312"/>
          <w:snapToGrid w:val="0"/>
          <w:color w:val="auto"/>
          <w:spacing w:val="-1"/>
          <w:kern w:val="0"/>
          <w:sz w:val="32"/>
          <w:szCs w:val="32"/>
          <w:highlight w:val="none"/>
          <w:shd w:val="clear" w:color="auto" w:fill="auto"/>
          <w:lang w:bidi="ar"/>
        </w:rPr>
        <w:t>项目的部分主体、关键性工作分包给他人的，或者分包人再次分包的</w:t>
      </w:r>
      <w:r>
        <w:rPr>
          <w:rFonts w:hint="eastAsia" w:ascii="仿宋_GB2312" w:hAnsi="仿宋_GB2312" w:eastAsia="仿宋_GB2312" w:cs="仿宋_GB2312"/>
          <w:snapToGrid w:val="0"/>
          <w:color w:val="auto"/>
          <w:spacing w:val="-1"/>
          <w:kern w:val="0"/>
          <w:sz w:val="32"/>
          <w:szCs w:val="32"/>
          <w:highlight w:val="none"/>
          <w:shd w:val="clear" w:color="auto" w:fill="auto"/>
          <w:lang w:eastAsia="zh-CN" w:bidi="ar"/>
        </w:rPr>
        <w:t>；</w:t>
      </w:r>
    </w:p>
    <w:p w14:paraId="183B8539">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成交人</w:t>
      </w:r>
      <w:r>
        <w:rPr>
          <w:rFonts w:hint="default" w:ascii="仿宋_GB2312" w:hAnsi="仿宋_GB2312" w:eastAsia="仿宋_GB2312" w:cs="仿宋_GB2312"/>
          <w:snapToGrid w:val="0"/>
          <w:color w:val="auto"/>
          <w:spacing w:val="-1"/>
          <w:kern w:val="0"/>
          <w:sz w:val="32"/>
          <w:szCs w:val="32"/>
          <w:highlight w:val="none"/>
          <w:shd w:val="clear" w:color="auto" w:fill="auto"/>
          <w:lang w:bidi="ar"/>
        </w:rPr>
        <w:t>无正当理由不与</w:t>
      </w: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委托人</w:t>
      </w:r>
      <w:r>
        <w:rPr>
          <w:rFonts w:hint="default" w:ascii="仿宋_GB2312" w:hAnsi="仿宋_GB2312" w:eastAsia="仿宋_GB2312" w:cs="仿宋_GB2312"/>
          <w:snapToGrid w:val="0"/>
          <w:color w:val="auto"/>
          <w:spacing w:val="-1"/>
          <w:kern w:val="0"/>
          <w:sz w:val="32"/>
          <w:szCs w:val="32"/>
          <w:highlight w:val="none"/>
          <w:shd w:val="clear" w:color="auto" w:fill="auto"/>
          <w:lang w:bidi="ar"/>
        </w:rPr>
        <w:t>订立合同，在签订合同时向</w:t>
      </w: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委托人</w:t>
      </w:r>
      <w:r>
        <w:rPr>
          <w:rFonts w:hint="default" w:ascii="仿宋_GB2312" w:hAnsi="仿宋_GB2312" w:eastAsia="仿宋_GB2312" w:cs="仿宋_GB2312"/>
          <w:snapToGrid w:val="0"/>
          <w:color w:val="auto"/>
          <w:spacing w:val="-1"/>
          <w:kern w:val="0"/>
          <w:sz w:val="32"/>
          <w:szCs w:val="32"/>
          <w:highlight w:val="none"/>
          <w:shd w:val="clear" w:color="auto" w:fill="auto"/>
          <w:lang w:bidi="ar"/>
        </w:rPr>
        <w:t>提出附加条件，或者不按照</w:t>
      </w:r>
      <w:r>
        <w:rPr>
          <w:rFonts w:hint="eastAsia" w:ascii="仿宋_GB2312" w:hAnsi="仿宋_GB2312" w:eastAsia="仿宋_GB2312" w:cs="仿宋_GB2312"/>
          <w:snapToGrid w:val="0"/>
          <w:color w:val="auto"/>
          <w:spacing w:val="-1"/>
          <w:kern w:val="0"/>
          <w:sz w:val="32"/>
          <w:szCs w:val="32"/>
          <w:highlight w:val="none"/>
          <w:shd w:val="clear" w:color="auto" w:fill="auto"/>
          <w:lang w:val="en-US" w:eastAsia="zh-CN" w:bidi="ar"/>
        </w:rPr>
        <w:t>采购</w:t>
      </w:r>
      <w:r>
        <w:rPr>
          <w:rFonts w:hint="default" w:ascii="仿宋_GB2312" w:hAnsi="仿宋_GB2312" w:eastAsia="仿宋_GB2312" w:cs="仿宋_GB2312"/>
          <w:snapToGrid w:val="0"/>
          <w:color w:val="auto"/>
          <w:spacing w:val="-1"/>
          <w:kern w:val="0"/>
          <w:sz w:val="32"/>
          <w:szCs w:val="32"/>
          <w:highlight w:val="none"/>
          <w:shd w:val="clear" w:color="auto" w:fill="auto"/>
          <w:lang w:bidi="ar"/>
        </w:rPr>
        <w:t>文件要求提交履约保证金的</w:t>
      </w:r>
      <w:r>
        <w:rPr>
          <w:rFonts w:hint="default" w:ascii="仿宋_GB2312" w:hAnsi="仿宋_GB2312" w:eastAsia="仿宋_GB2312" w:cs="仿宋_GB2312"/>
          <w:snapToGrid w:val="0"/>
          <w:color w:val="auto"/>
          <w:spacing w:val="-1"/>
          <w:kern w:val="0"/>
          <w:sz w:val="32"/>
          <w:szCs w:val="32"/>
          <w:highlight w:val="none"/>
          <w:shd w:val="clear" w:color="auto" w:fill="auto"/>
          <w:lang w:eastAsia="zh-CN" w:bidi="ar"/>
        </w:rPr>
        <w:t>；</w:t>
      </w:r>
    </w:p>
    <w:p w14:paraId="6E545CA8">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snapToGrid w:val="0"/>
          <w:color w:val="auto"/>
          <w:spacing w:val="-1"/>
          <w:kern w:val="0"/>
          <w:sz w:val="32"/>
          <w:szCs w:val="32"/>
          <w:highlight w:val="none"/>
          <w:shd w:val="clear" w:color="auto" w:fill="auto"/>
          <w:lang w:bidi="ar"/>
        </w:rPr>
        <w:t>拒绝有关部门监督检查或者提供虚假情况的</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w:t>
      </w:r>
    </w:p>
    <w:p w14:paraId="3A60428D">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提供假冒伪劣产品；</w:t>
      </w:r>
    </w:p>
    <w:p w14:paraId="22684F49">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无正当理由擅自变更、中止或者终止合同；</w:t>
      </w:r>
    </w:p>
    <w:p w14:paraId="6B7285EE">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因咨询人原因发生较大及以上安全、质量、环保事故（政府主管部门定性）；</w:t>
      </w:r>
    </w:p>
    <w:p w14:paraId="5AB88B45">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框架协议采购项目在</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框架协议期内拒绝接受</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采购订单</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数量达3个的</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w:t>
      </w:r>
    </w:p>
    <w:p w14:paraId="7C623DD0">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泄露海口市产业发展投资集团有限公司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或子公司的商业秘密，产生不良影响的；</w:t>
      </w:r>
    </w:p>
    <w:p w14:paraId="01D2272B">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因</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咨询人</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自身或其分包单位原因在项目</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实施</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过程中</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产生上访、</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围堵</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eastAsia="zh-CN" w:bidi="ar"/>
        </w:rPr>
        <w:t>、</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重大舆情</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等恶性事件，影响</w:t>
      </w:r>
      <w:r>
        <w:rPr>
          <w:rFonts w:hint="default"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海口市产业发展投资集团有限公司</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或子公司</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声誉的；</w:t>
      </w:r>
    </w:p>
    <w:p w14:paraId="46AD7A47">
      <w:pPr>
        <w:keepNext w:val="0"/>
        <w:keepLines w:val="0"/>
        <w:pageBreakBefore w:val="0"/>
        <w:numPr>
          <w:ilvl w:val="0"/>
          <w:numId w:val="2"/>
        </w:numPr>
        <w:kinsoku/>
        <w:wordWrap/>
        <w:overflowPunct/>
        <w:topLinePunct w:val="0"/>
        <w:autoSpaceDE/>
        <w:autoSpaceDN/>
        <w:bidi w:val="0"/>
        <w:adjustRightInd w:val="0"/>
        <w:snapToGrid w:val="0"/>
        <w:spacing w:line="560" w:lineRule="exact"/>
        <w:ind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擅自更换核心团队/主设备品牌，降低配置，构成实质性违约的；</w:t>
      </w:r>
    </w:p>
    <w:p w14:paraId="45DDB65A">
      <w:pPr>
        <w:keepNext w:val="0"/>
        <w:keepLines w:val="0"/>
        <w:pageBreakBefore w:val="0"/>
        <w:numPr>
          <w:ilvl w:val="0"/>
          <w:numId w:val="2"/>
        </w:numPr>
        <w:kinsoku/>
        <w:wordWrap/>
        <w:overflowPunct/>
        <w:topLinePunct w:val="0"/>
        <w:autoSpaceDE/>
        <w:autoSpaceDN/>
        <w:bidi w:val="0"/>
        <w:adjustRightInd w:val="0"/>
        <w:snapToGrid w:val="0"/>
        <w:spacing w:line="560" w:lineRule="exact"/>
        <w:ind w:left="0" w:leftChars="0" w:firstLine="636" w:firstLineChars="200"/>
        <w:jc w:val="both"/>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val="en-US" w:eastAsia="zh-CN" w:bidi="ar"/>
        </w:rPr>
        <w:t>报价失误、漏项导致合同无法履行，又不接受调价或终止合同的；</w:t>
      </w:r>
    </w:p>
    <w:p w14:paraId="575B6EEC">
      <w:pPr>
        <w:numPr>
          <w:ilvl w:val="0"/>
          <w:numId w:val="2"/>
        </w:numPr>
        <w:autoSpaceDE/>
        <w:autoSpaceDN/>
        <w:adjustRightInd w:val="0"/>
        <w:snapToGrid w:val="0"/>
        <w:spacing w:line="560" w:lineRule="exact"/>
        <w:ind w:firstLine="636"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bidi="ar"/>
        </w:rPr>
        <w:t>其他违反国家法律、法规行为的</w:t>
      </w:r>
      <w:r>
        <w:rPr>
          <w:rFonts w:hint="eastAsia" w:ascii="仿宋_GB2312" w:hAnsi="仿宋_GB2312" w:eastAsia="仿宋_GB2312" w:cs="仿宋_GB2312"/>
          <w:b w:val="0"/>
          <w:bCs w:val="0"/>
          <w:snapToGrid w:val="0"/>
          <w:color w:val="auto"/>
          <w:spacing w:val="-1"/>
          <w:kern w:val="0"/>
          <w:sz w:val="32"/>
          <w:szCs w:val="32"/>
          <w:highlight w:val="none"/>
          <w:shd w:val="clear" w:color="auto" w:fill="auto"/>
          <w:lang w:eastAsia="zh-CN" w:bidi="ar"/>
        </w:rPr>
        <w:t>。</w:t>
      </w:r>
    </w:p>
    <w:p w14:paraId="375405EB">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二、</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我司已</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充分知晓并</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同意</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：若</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贵单位</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发现</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存在</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上述情形之一</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的，无论</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本项目</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进展至何种阶段（包括但不限于</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响应</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文件递交、评审、</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结果</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公示、合同签订等），</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贵单位均有权将我司纳入贵单位不良信用主体名单库，并</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 xml:space="preserve">按以下方式处理： </w:t>
      </w:r>
    </w:p>
    <w:p w14:paraId="692FB3D9">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（一）已提交响应文件的</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咨询人</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尚未完成评审的，作否决响应资格处理；</w:t>
      </w:r>
    </w:p>
    <w:p w14:paraId="3CDCA76C">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（二）</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尚未发出成交</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通知书的，取消成交</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（入围）</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资格；</w:t>
      </w:r>
    </w:p>
    <w:p w14:paraId="46F5551A">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已签订框架协议的，不</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授予新的订单</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p>
    <w:p w14:paraId="30767E1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同时</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将承担由此给</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委托人</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委托</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代理机构造成的全部损失（包括但不限于重新</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采购</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的费用、工期延误损失等）</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p>
    <w:p w14:paraId="322A1D54">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三</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保证本承诺函内容真实、准确、完整，不存在</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任何</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虚假陈述、隐瞒事实或误导性表述等情形。若本承诺函内容与事实不符，</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自愿接受相关行政监督部门的处罚，并承担</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由此产生的全部</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法律责任（包括但不限于对</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委托</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人的违约赔偿责任、相应的行政处罚责任等）。</w:t>
      </w:r>
    </w:p>
    <w:p w14:paraId="1A4031D6">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四</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、本承诺函自</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我司</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法定代表人或授权代表人签字并加盖公章之日起生效</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，对我司具有法律约束力</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p>
    <w:p w14:paraId="21BB4345">
      <w:pPr>
        <w:autoSpaceDE/>
        <w:autoSpaceDN/>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特此承诺！​</w:t>
      </w:r>
    </w:p>
    <w:p w14:paraId="67AE5B09">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p>
    <w:p w14:paraId="074BA868">
      <w:pPr>
        <w:spacing w:line="560" w:lineRule="exact"/>
        <w:ind w:firstLine="1920" w:firstLineChars="6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咨询人</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（盖章）：</w:t>
      </w:r>
      <w:permStart w:id="299" w:edGrp="everyone"/>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咨询人</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全称]​</w:t>
      </w:r>
      <w:permEnd w:id="299"/>
    </w:p>
    <w:p w14:paraId="4CA6A41E">
      <w:pPr>
        <w:spacing w:line="560" w:lineRule="exact"/>
        <w:ind w:firstLine="640" w:firstLineChars="2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法定代表人（或授权代表人）（签字）：</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w:t>
      </w:r>
    </w:p>
    <w:p w14:paraId="67B5775D">
      <w:pPr>
        <w:spacing w:line="560" w:lineRule="exact"/>
        <w:ind w:firstLine="3520" w:firstLineChars="1100"/>
        <w:jc w:val="both"/>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pPr>
      <w:permStart w:id="300" w:edGrp="everyone"/>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年</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月</w:t>
      </w:r>
      <w:r>
        <w:rPr>
          <w:rFonts w:hint="eastAsia"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 xml:space="preserve">  </w:t>
      </w:r>
      <w:r>
        <w:rPr>
          <w:rFonts w:hint="default" w:ascii="仿宋_GB2312" w:hAnsi="仿宋_GB2312" w:eastAsia="仿宋_GB2312" w:cs="仿宋_GB2312"/>
          <w:b w:val="0"/>
          <w:bCs w:val="0"/>
          <w:snapToGrid/>
          <w:color w:val="auto"/>
          <w:spacing w:val="0"/>
          <w:kern w:val="2"/>
          <w:sz w:val="32"/>
          <w:szCs w:val="32"/>
          <w:highlight w:val="none"/>
          <w:shd w:val="clear" w:color="auto" w:fill="auto"/>
          <w:lang w:val="en-US" w:eastAsia="zh-CN" w:bidi="ar-SA"/>
        </w:rPr>
        <w:t>日</w:t>
      </w:r>
    </w:p>
    <w:permEnd w:id="300"/>
    <w:p w14:paraId="0D09877E">
      <w:pPr>
        <w:rPr>
          <w:highlight w:val="none"/>
          <w:shd w:val="clear" w:color="auto" w:fill="auto"/>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B0506">
    <w:pPr>
      <w:pStyle w:val="6"/>
      <w:jc w:val="center"/>
    </w:pPr>
  </w:p>
  <w:p w14:paraId="49218819">
    <w:pPr>
      <w:pStyle w:val="6"/>
      <w:ind w:firstLine="480"/>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3BB45">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47847">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F17CC">
    <w:pPr>
      <w:pStyle w:val="6"/>
      <w:tabs>
        <w:tab w:val="left" w:pos="3510"/>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2222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00685" cy="222250"/>
                      </a:xfrm>
                      <a:prstGeom prst="rect">
                        <a:avLst/>
                      </a:prstGeom>
                      <a:noFill/>
                      <a:ln>
                        <a:noFill/>
                      </a:ln>
                    </wps:spPr>
                    <wps:txbx>
                      <w:txbxContent>
                        <w:p w14:paraId="048B8467">
                          <w:pPr>
                            <w:snapToGrid w:val="0"/>
                            <w:ind w:firstLine="3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t>　</w:t>
                          </w:r>
                          <w:r>
                            <w:rPr>
                              <w:rFonts w:ascii="宋体" w:hAnsi="宋体" w:eastAsia="宋体"/>
                              <w:sz w:val="28"/>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7.5pt;width:31.55pt;mso-position-horizontal:center;mso-position-horizontal-relative:margin;mso-wrap-style:none;z-index:251659264;mso-width-relative:page;mso-height-relative:page;" filled="f" stroked="f" coordsize="21600,21600" o:gfxdata="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9sHStEAAAADAQAADwAAAAAAAAABACAAAAAiAAAAZHJzL2Rvd25y&#10;ZXYueG1sUEsBAhQAFAAAAAgAh07iQCkcO+fMAQAAlwMAAA4AAAAAAAAAAQAgAAAAIAEAAGRycy9l&#10;Mm9Eb2MueG1sUEsFBgAAAAAGAAYAWQEAAF4FAAAAAA==&#10;">
              <v:fill on="f" focussize="0,0"/>
              <v:stroke on="f"/>
              <v:imagedata o:title=""/>
              <o:lock v:ext="edit" aspectratio="f"/>
              <v:textbox inset="0mm,0mm,0mm,0mm" style="mso-fit-shape-to-text:t;">
                <w:txbxContent>
                  <w:p w14:paraId="048B8467">
                    <w:pPr>
                      <w:snapToGrid w:val="0"/>
                      <w:ind w:firstLine="360"/>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4"/>
                        <w:szCs w:val="24"/>
                      </w:rPr>
                      <w:fldChar w:fldCharType="begin"/>
                    </w:r>
                    <w:r>
                      <w:rPr>
                        <w:rFonts w:ascii="宋体" w:hAnsi="宋体" w:eastAsia="宋体"/>
                        <w:sz w:val="24"/>
                        <w:szCs w:val="24"/>
                      </w:rPr>
                      <w:instrText xml:space="preserve"> PAGE  \* MERGEFORMAT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t>　</w:t>
                    </w:r>
                    <w:r>
                      <w:rPr>
                        <w:rFonts w:ascii="宋体" w:hAnsi="宋体" w:eastAsia="宋体"/>
                        <w:sz w:val="28"/>
                      </w:rPr>
                      <w:t>—</w:t>
                    </w:r>
                  </w:p>
                </w:txbxContent>
              </v:textbox>
            </v:shape>
          </w:pict>
        </mc:Fallback>
      </mc:AlternateConten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E43B9">
    <w:pPr>
      <w:pStyle w:val="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0EC3F">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31B2E">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566A97"/>
    <w:multiLevelType w:val="singleLevel"/>
    <w:tmpl w:val="B7566A97"/>
    <w:lvl w:ilvl="0" w:tentative="0">
      <w:start w:val="1"/>
      <w:numFmt w:val="decimal"/>
      <w:lvlText w:val="%1."/>
      <w:lvlJc w:val="left"/>
      <w:pPr>
        <w:tabs>
          <w:tab w:val="left" w:pos="312"/>
        </w:tabs>
      </w:pPr>
    </w:lvl>
  </w:abstractNum>
  <w:abstractNum w:abstractNumId="1">
    <w:nsid w:val="70A01CDF"/>
    <w:multiLevelType w:val="singleLevel"/>
    <w:tmpl w:val="70A01CDF"/>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comments" w:enforcement="1" w:cryptProviderType="rsaFull" w:cryptAlgorithmClass="hash" w:cryptAlgorithmType="typeAny" w:cryptAlgorithmSid="4" w:cryptSpinCount="0" w:hash="GTllrpemR7O8WoeAk//WXMB5N58=" w:salt="K5o9ec/Dq2xh/qxslJBVJ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zY2VhNzc5NjhlMWI5NTgyZDI2ODhlY2I1OTk3OWQifQ=="/>
  </w:docVars>
  <w:rsids>
    <w:rsidRoot w:val="2E6D0E55"/>
    <w:rsid w:val="00ED6D08"/>
    <w:rsid w:val="05653F63"/>
    <w:rsid w:val="09BC1108"/>
    <w:rsid w:val="0A2D3133"/>
    <w:rsid w:val="0A361D55"/>
    <w:rsid w:val="0F0834E7"/>
    <w:rsid w:val="14E867DD"/>
    <w:rsid w:val="1A791565"/>
    <w:rsid w:val="1B492FD4"/>
    <w:rsid w:val="1F181906"/>
    <w:rsid w:val="205C375B"/>
    <w:rsid w:val="22433D61"/>
    <w:rsid w:val="2B326335"/>
    <w:rsid w:val="2D3A4BC3"/>
    <w:rsid w:val="2E6D0E55"/>
    <w:rsid w:val="35486031"/>
    <w:rsid w:val="36F734A3"/>
    <w:rsid w:val="3C8570EC"/>
    <w:rsid w:val="410509F4"/>
    <w:rsid w:val="42B862C6"/>
    <w:rsid w:val="44861F46"/>
    <w:rsid w:val="47FA77D6"/>
    <w:rsid w:val="49EF575D"/>
    <w:rsid w:val="4BB356F2"/>
    <w:rsid w:val="4D526974"/>
    <w:rsid w:val="54EF712A"/>
    <w:rsid w:val="70735A98"/>
    <w:rsid w:val="776F03D3"/>
    <w:rsid w:val="7DF805D1"/>
    <w:rsid w:val="7E2F1F3D"/>
    <w:rsid w:val="7F324187"/>
    <w:rsid w:val="7FEF0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annotation text"/>
    <w:basedOn w:val="1"/>
    <w:qFormat/>
    <w:uiPriority w:val="0"/>
    <w:pPr>
      <w:jc w:val="left"/>
    </w:pPr>
  </w:style>
  <w:style w:type="paragraph" w:styleId="5">
    <w:name w:val="Date"/>
    <w:basedOn w:val="1"/>
    <w:next w:val="1"/>
    <w:qFormat/>
    <w:uiPriority w:val="0"/>
    <w:pPr>
      <w:ind w:left="100" w:leftChars="25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paragraph" w:customStyle="1" w:styleId="11">
    <w:name w:val="样式 首行缩进:  2 字符"/>
    <w:basedOn w:val="1"/>
    <w:qFormat/>
    <w:uiPriority w:val="0"/>
    <w:pPr>
      <w:ind w:firstLine="560"/>
    </w:pPr>
    <w:rPr>
      <w:rFonts w:eastAsia="仿宋_GB2312" w:cs="宋体"/>
      <w:sz w:val="24"/>
    </w:rPr>
  </w:style>
  <w:style w:type="paragraph" w:customStyle="1" w:styleId="12">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13">
    <w:name w:val="Char Char Char Char Char Char Char Char Char Char Char Char Char Char"/>
    <w:basedOn w:val="1"/>
    <w:qFormat/>
    <w:uiPriority w:val="0"/>
    <w:rPr>
      <w:rFonts w:ascii="Tahoma" w:hAnsi="Tahoma"/>
      <w:sz w:val="28"/>
      <w:szCs w:val="20"/>
    </w:rPr>
  </w:style>
  <w:style w:type="paragraph" w:customStyle="1" w:styleId="14">
    <w:name w:val="TOC 标题2"/>
    <w:basedOn w:val="2"/>
    <w:next w:val="1"/>
    <w:qFormat/>
    <w:uiPriority w:val="0"/>
    <w:pPr>
      <w:spacing w:line="578" w:lineRule="auto"/>
      <w:ind w:firstLine="200" w:firstLineChars="200"/>
      <w:outlineLvl w:val="9"/>
    </w:pPr>
    <w:rPr>
      <w:rFonts w:ascii="仿宋_GB2312" w:eastAsia="仿宋_GB2312"/>
    </w:rPr>
  </w:style>
  <w:style w:type="paragraph" w:customStyle="1" w:styleId="15">
    <w:name w:val="p0"/>
    <w:basedOn w:val="1"/>
    <w:qFormat/>
    <w:uiPriority w:val="0"/>
    <w:rPr>
      <w:rFonts w:ascii="Times New Roman" w:hAnsi="Times New Roman"/>
      <w:szCs w:val="21"/>
    </w:rPr>
  </w:style>
  <w:style w:type="character" w:customStyle="1" w:styleId="16">
    <w:name w:val="标题 Char"/>
    <w:qFormat/>
    <w:uiPriority w:val="10"/>
    <w:rPr>
      <w:rFonts w:ascii="Cambria" w:hAnsi="Cambria" w:eastAsia="宋体" w:cs="Times New Roman"/>
      <w:b/>
      <w:bCs/>
      <w:sz w:val="24"/>
      <w:szCs w:val="32"/>
    </w:rPr>
  </w:style>
  <w:style w:type="character" w:customStyle="1" w:styleId="17">
    <w:name w:val="副标题 Char"/>
    <w:qFormat/>
    <w:uiPriority w:val="11"/>
    <w:rPr>
      <w:rFonts w:ascii="Calibri Light" w:hAnsi="Calibri Light" w:eastAsia="宋体" w:cs="Times New Roman"/>
      <w:b/>
      <w:bCs/>
      <w:kern w:val="28"/>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3897</Words>
  <Characters>4027</Characters>
  <Lines>0</Lines>
  <Paragraphs>0</Paragraphs>
  <TotalTime>8</TotalTime>
  <ScaleCrop>false</ScaleCrop>
  <LinksUpToDate>false</LinksUpToDate>
  <CharactersWithSpaces>4700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2025-10-24T12:45:00Z</dcterms:created>
  <dc:creator>王武</dc:creator>
  <cp:lastModifiedBy>罗岚斐</cp:lastModifiedBy>
  <dcterms:modified xsi:type="dcterms:W3CDTF">2025-12-10T09:34:42Z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E78320BE7ECE4BA4BBC46C2EC3B68181_13</vt:lpwstr>
  </property>
  <property fmtid="{D5CDD505-2E9C-101B-9397-08002B2CF9AE}" pid="4" name="KSOTemplateDocerSaveRecord">
    <vt:lpwstr>eyJoZGlkIjoiOTYzY2VhNzc5NjhlMWI5NTgyZDI2ODhlY2I1OTk3OWQiLCJ1c2VySWQiOiIxNzUxNjUzNTE4In0=</vt:lpwstr>
  </property>
</Properties>
</file>