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EEF8C">
      <w:pPr>
        <w:spacing w:line="240" w:lineRule="auto"/>
        <w:ind w:firstLine="0" w:firstLineChars="0"/>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江东·梧桐里、江东·悦海、青春东岸项目未售商铺</w:t>
      </w:r>
      <w:r>
        <w:rPr>
          <w:rFonts w:hint="eastAsia" w:ascii="方正小标宋_GBK" w:hAnsi="方正小标宋_GBK" w:eastAsia="方正小标宋_GBK" w:cs="方正小标宋_GBK"/>
          <w:b w:val="0"/>
          <w:bCs w:val="0"/>
          <w:color w:val="auto"/>
          <w:sz w:val="44"/>
          <w:szCs w:val="44"/>
          <w:highlight w:val="none"/>
          <w:lang w:val="en-US" w:eastAsia="zh-CN"/>
        </w:rPr>
        <w:t>市场租金</w:t>
      </w:r>
      <w:r>
        <w:rPr>
          <w:rFonts w:hint="eastAsia" w:ascii="方正小标宋_GBK" w:hAnsi="方正小标宋_GBK" w:eastAsia="方正小标宋_GBK" w:cs="方正小标宋_GBK"/>
          <w:b w:val="0"/>
          <w:bCs w:val="0"/>
          <w:color w:val="auto"/>
          <w:sz w:val="44"/>
          <w:szCs w:val="44"/>
          <w:highlight w:val="none"/>
        </w:rPr>
        <w:t>评估服务合同</w:t>
      </w:r>
    </w:p>
    <w:p w14:paraId="0F7E6D7D">
      <w:pPr>
        <w:spacing w:line="240" w:lineRule="auto"/>
        <w:ind w:firstLine="0" w:firstLineChars="0"/>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合同编号：[           ]</w:t>
      </w:r>
    </w:p>
    <w:p w14:paraId="23008544">
      <w:pPr>
        <w:ind w:firstLine="0" w:firstLineChars="0"/>
        <w:jc w:val="left"/>
        <w:rPr>
          <w:rFonts w:hint="eastAsia" w:ascii="仿宋_GB2312" w:hAnsi="仿宋_GB2312" w:eastAsia="仿宋_GB2312" w:cs="仿宋_GB2312"/>
          <w:color w:val="auto"/>
          <w:sz w:val="32"/>
          <w:szCs w:val="32"/>
          <w:highlight w:val="none"/>
        </w:rPr>
      </w:pPr>
    </w:p>
    <w:p w14:paraId="045929C4">
      <w:pPr>
        <w:widowControl/>
        <w:spacing w:line="560" w:lineRule="exact"/>
        <w:ind w:firstLine="643" w:firstLineChars="200"/>
        <w:rPr>
          <w:rFonts w:hint="eastAsia" w:ascii="仿宋_GB2312" w:hAnsi="仿宋_GB2312" w:eastAsia="仿宋_GB2312" w:cs="仿宋_GB2312"/>
          <w:b/>
          <w:bCs/>
          <w:color w:val="auto"/>
          <w:kern w:val="2"/>
          <w:sz w:val="32"/>
          <w:szCs w:val="32"/>
          <w:highlight w:val="none"/>
        </w:rPr>
      </w:pPr>
      <w:r>
        <w:rPr>
          <w:rFonts w:hint="eastAsia" w:ascii="仿宋_GB2312" w:hAnsi="仿宋_GB2312" w:eastAsia="仿宋_GB2312" w:cs="仿宋_GB2312"/>
          <w:b/>
          <w:bCs/>
          <w:color w:val="auto"/>
          <w:sz w:val="32"/>
          <w:szCs w:val="32"/>
          <w:highlight w:val="none"/>
        </w:rPr>
        <w:t>委托方（以下简称“甲方”）</w:t>
      </w:r>
      <w:r>
        <w:rPr>
          <w:rFonts w:hint="eastAsia" w:ascii="仿宋_GB2312" w:hAnsi="仿宋_GB2312" w:eastAsia="仿宋_GB2312" w:cs="仿宋_GB2312"/>
          <w:b/>
          <w:bCs/>
          <w:color w:val="auto"/>
          <w:sz w:val="32"/>
          <w:szCs w:val="32"/>
          <w:highlight w:val="none"/>
          <w:lang w:eastAsia="zh-CN"/>
        </w:rPr>
        <w:t>：</w:t>
      </w:r>
    </w:p>
    <w:p w14:paraId="6E94E082">
      <w:pPr>
        <w:widowControl/>
        <w:spacing w:line="560" w:lineRule="exact"/>
        <w:ind w:firstLine="640" w:firstLineChars="200"/>
        <w:rPr>
          <w:rFonts w:hint="eastAsia" w:ascii="仿宋_GB2312" w:hAnsi="仿宋_GB2312" w:eastAsia="仿宋_GB2312" w:cs="仿宋_GB2312"/>
          <w:color w:val="auto"/>
          <w:kern w:val="2"/>
          <w:sz w:val="32"/>
          <w:szCs w:val="32"/>
          <w:highlight w:val="none"/>
          <w:u w:val="none"/>
        </w:rPr>
      </w:pP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w:t>
      </w:r>
      <w:permStart w:id="0" w:edGrp="everyone"/>
      <w:r>
        <w:rPr>
          <w:rFonts w:hint="eastAsia" w:ascii="仿宋_GB2312" w:hAnsi="仿宋_GB2312" w:eastAsia="仿宋_GB2312" w:cs="仿宋_GB2312"/>
          <w:color w:val="auto"/>
          <w:sz w:val="32"/>
          <w:szCs w:val="32"/>
          <w:highlight w:val="none"/>
          <w:u w:val="none"/>
          <w:lang w:eastAsia="zh-CN"/>
        </w:rPr>
        <w:t>海口市君实综合开发有限责任公司</w:t>
      </w:r>
      <w:permEnd w:id="0"/>
    </w:p>
    <w:p w14:paraId="790A831D">
      <w:pPr>
        <w:spacing w:line="560" w:lineRule="exact"/>
        <w:ind w:firstLine="640" w:firstLineChars="200"/>
        <w:rPr>
          <w:rFonts w:hint="eastAsia" w:ascii="仿宋_GB2312" w:hAnsi="仿宋_GB2312" w:eastAsia="仿宋_GB2312" w:cs="仿宋_GB2312"/>
          <w:color w:val="auto"/>
          <w:kern w:val="2"/>
          <w:sz w:val="32"/>
          <w:szCs w:val="32"/>
          <w:highlight w:val="none"/>
          <w:u w:val="none"/>
        </w:rPr>
      </w:pPr>
      <w:r>
        <w:rPr>
          <w:rFonts w:hint="eastAsia" w:ascii="仿宋_GB2312" w:hAnsi="仿宋_GB2312" w:eastAsia="仿宋_GB2312" w:cs="仿宋_GB2312"/>
          <w:color w:val="auto"/>
          <w:kern w:val="2"/>
          <w:sz w:val="32"/>
          <w:szCs w:val="32"/>
          <w:highlight w:val="none"/>
        </w:rPr>
        <w:t>统一社会信用代码：</w:t>
      </w:r>
      <w:r>
        <w:rPr>
          <w:rFonts w:hint="eastAsia" w:ascii="仿宋_GB2312" w:hAnsi="仿宋_GB2312" w:eastAsia="仿宋_GB2312" w:cs="仿宋_GB2312"/>
          <w:color w:val="auto"/>
          <w:kern w:val="2"/>
          <w:sz w:val="32"/>
          <w:szCs w:val="32"/>
          <w:highlight w:val="none"/>
          <w:u w:val="none"/>
        </w:rPr>
        <w:t>91460000MA5TL6AD32</w:t>
      </w:r>
    </w:p>
    <w:p w14:paraId="28FA557D">
      <w:pPr>
        <w:spacing w:line="560" w:lineRule="exact"/>
        <w:ind w:left="638" w:leftChars="228"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地址：海南省海口市江东新区江东大道202号江东大厦B座3层</w:t>
      </w:r>
    </w:p>
    <w:p w14:paraId="6AFC5F6D">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法定代表人：</w:t>
      </w:r>
      <w:r>
        <w:rPr>
          <w:rFonts w:hint="eastAsia" w:ascii="仿宋_GB2312" w:hAnsi="仿宋_GB2312" w:eastAsia="仿宋_GB2312" w:cs="仿宋_GB2312"/>
          <w:color w:val="auto"/>
          <w:sz w:val="32"/>
          <w:szCs w:val="32"/>
          <w:highlight w:val="none"/>
          <w:lang w:val="en-US" w:eastAsia="zh-CN"/>
        </w:rPr>
        <w:t>方志斌</w:t>
      </w:r>
    </w:p>
    <w:p w14:paraId="08FA41B5">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联系方式：0898-36323320</w:t>
      </w:r>
    </w:p>
    <w:p w14:paraId="33FDD834">
      <w:pPr>
        <w:ind w:firstLine="640" w:firstLineChars="200"/>
        <w:rPr>
          <w:rFonts w:hint="eastAsia" w:ascii="仿宋_GB2312" w:hAnsi="仿宋_GB2312" w:eastAsia="仿宋_GB2312" w:cs="仿宋_GB2312"/>
          <w:color w:val="auto"/>
          <w:kern w:val="2"/>
          <w:sz w:val="32"/>
          <w:szCs w:val="32"/>
          <w:highlight w:val="none"/>
          <w:u w:val="none"/>
        </w:rPr>
      </w:pPr>
    </w:p>
    <w:p w14:paraId="29D7D2CB">
      <w:pPr>
        <w:spacing w:line="560" w:lineRule="exact"/>
        <w:ind w:firstLine="643" w:firstLineChars="20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受托方（以下简称“乙方”）：</w:t>
      </w:r>
    </w:p>
    <w:p w14:paraId="093A190D">
      <w:pPr>
        <w:widowControl/>
        <w:spacing w:line="560" w:lineRule="exact"/>
        <w:ind w:firstLine="640" w:firstLineChars="200"/>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sz w:val="32"/>
          <w:szCs w:val="32"/>
          <w:highlight w:val="none"/>
        </w:rPr>
        <w:t>乙方：</w:t>
      </w:r>
    </w:p>
    <w:p w14:paraId="574D1129">
      <w:pPr>
        <w:spacing w:line="560" w:lineRule="exact"/>
        <w:ind w:firstLine="640" w:firstLineChars="200"/>
        <w:rPr>
          <w:rFonts w:hint="default" w:ascii="仿宋_GB2312"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统一社会信用代码：</w:t>
      </w:r>
    </w:p>
    <w:p w14:paraId="64366BCC">
      <w:pPr>
        <w:spacing w:line="560" w:lineRule="exact"/>
        <w:ind w:firstLine="640" w:firstLineChars="200"/>
        <w:rPr>
          <w:rFonts w:hint="eastAsia"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地址：</w:t>
      </w:r>
    </w:p>
    <w:p w14:paraId="24BDA42B">
      <w:pPr>
        <w:spacing w:line="560" w:lineRule="exact"/>
        <w:ind w:firstLine="640" w:firstLineChars="200"/>
        <w:rPr>
          <w:rFonts w:hint="eastAsia"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法定代表人：</w:t>
      </w:r>
    </w:p>
    <w:p w14:paraId="5597044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hAnsi="仿宋_GB2312" w:eastAsia="仿宋_GB2312" w:cs="仿宋_GB2312"/>
          <w:color w:val="auto"/>
          <w:kern w:val="2"/>
          <w:sz w:val="32"/>
          <w:szCs w:val="32"/>
          <w:highlight w:val="none"/>
          <w:lang w:val="en-US" w:eastAsia="zh-CN"/>
        </w:rPr>
        <w:t>联系方式：</w:t>
      </w:r>
      <w:permStart w:id="1" w:edGrp="everyone"/>
    </w:p>
    <w:permEnd w:id="1"/>
    <w:p w14:paraId="25946A96">
      <w:pPr>
        <w:ind w:firstLine="0" w:firstLineChars="0"/>
        <w:rPr>
          <w:rFonts w:hint="eastAsia" w:ascii="仿宋_GB2312" w:hAnsi="仿宋_GB2312" w:eastAsia="仿宋_GB2312" w:cs="仿宋_GB2312"/>
          <w:color w:val="auto"/>
          <w:sz w:val="32"/>
          <w:szCs w:val="32"/>
          <w:highlight w:val="none"/>
          <w:u w:val="none"/>
        </w:rPr>
      </w:pPr>
    </w:p>
    <w:p w14:paraId="3AA1D14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甲乙双方经友好协商，在诚实守信、平等互利的原则下，根据《中华人民共和国民法典》和有关法律法规规定，就</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甲方委托乙方提供江东·梧桐里、江东·悦海、青春东岸项目未售商铺</w:t>
      </w:r>
      <w:r>
        <w:rPr>
          <w:rFonts w:hint="eastAsia" w:ascii="仿宋_GB2312" w:hAnsi="仿宋_GB2312" w:eastAsia="仿宋_GB2312" w:cs="仿宋_GB2312"/>
          <w:color w:val="auto"/>
          <w:sz w:val="32"/>
          <w:szCs w:val="32"/>
          <w:highlight w:val="none"/>
          <w:u w:val="single"/>
          <w:lang w:val="en-US" w:eastAsia="zh-CN"/>
        </w:rPr>
        <w:t>市场租金</w:t>
      </w:r>
      <w:r>
        <w:rPr>
          <w:rFonts w:hint="eastAsia" w:ascii="仿宋_GB2312" w:hAnsi="仿宋_GB2312" w:eastAsia="仿宋_GB2312" w:cs="仿宋_GB2312"/>
          <w:color w:val="auto"/>
          <w:sz w:val="32"/>
          <w:szCs w:val="32"/>
          <w:highlight w:val="none"/>
          <w:u w:val="single"/>
        </w:rPr>
        <w:t>评估服务</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相关事宜达成如下合作：</w:t>
      </w:r>
    </w:p>
    <w:p w14:paraId="5AD8DCD2">
      <w:pPr>
        <w:numPr>
          <w:ilvl w:val="-1"/>
          <w:numId w:val="0"/>
        </w:numPr>
        <w:spacing w:line="560" w:lineRule="exact"/>
        <w:ind w:leftChars="0" w:firstLine="640" w:firstLineChars="200"/>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一、</w:t>
      </w:r>
      <w:r>
        <w:rPr>
          <w:rFonts w:hint="eastAsia" w:ascii="黑体" w:hAnsi="黑体" w:eastAsia="黑体" w:cs="黑体"/>
          <w:b w:val="0"/>
          <w:bCs w:val="0"/>
          <w:color w:val="auto"/>
          <w:kern w:val="2"/>
          <w:sz w:val="32"/>
          <w:szCs w:val="32"/>
          <w:highlight w:val="none"/>
        </w:rPr>
        <w:t>项目概况</w:t>
      </w:r>
    </w:p>
    <w:p w14:paraId="22E28632">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甲方</w:t>
      </w:r>
      <w:r>
        <w:rPr>
          <w:rFonts w:hint="eastAsia" w:ascii="仿宋_GB2312" w:hAnsi="仿宋_GB2312" w:eastAsia="仿宋_GB2312" w:cs="仿宋_GB2312"/>
          <w:color w:val="auto"/>
          <w:sz w:val="32"/>
          <w:szCs w:val="32"/>
          <w:highlight w:val="none"/>
          <w:lang w:val="en-US" w:eastAsia="zh-CN"/>
        </w:rPr>
        <w:t>受项目公司委托代为签署本合同（授权委托书详见附件4）</w:t>
      </w:r>
      <w:r>
        <w:rPr>
          <w:rFonts w:hint="eastAsia" w:ascii="仿宋_GB2312" w:hAnsi="仿宋_GB2312" w:eastAsia="仿宋_GB2312" w:cs="仿宋_GB2312"/>
          <w:color w:val="auto"/>
          <w:sz w:val="32"/>
          <w:szCs w:val="32"/>
          <w:highlight w:val="none"/>
        </w:rPr>
        <w:t>，包括以下公司</w:t>
      </w:r>
      <w:r>
        <w:rPr>
          <w:rFonts w:hint="eastAsia" w:ascii="仿宋_GB2312" w:hAnsi="仿宋_GB2312" w:eastAsia="仿宋_GB2312" w:cs="仿宋_GB2312"/>
          <w:color w:val="auto"/>
          <w:sz w:val="32"/>
          <w:szCs w:val="32"/>
          <w:highlight w:val="none"/>
          <w:lang w:val="en-US" w:eastAsia="zh-CN"/>
        </w:rPr>
        <w:t>（以下简称“项目公司”）</w:t>
      </w:r>
      <w:r>
        <w:rPr>
          <w:rFonts w:hint="eastAsia" w:ascii="仿宋_GB2312" w:hAnsi="仿宋_GB2312" w:eastAsia="仿宋_GB2312" w:cs="仿宋_GB2312"/>
          <w:color w:val="auto"/>
          <w:sz w:val="32"/>
          <w:szCs w:val="32"/>
          <w:highlight w:val="none"/>
        </w:rPr>
        <w:t>：海口江东新区城市投资有限公司、海口市恒睿安居置业有限公司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海南省桂林洋房地产开发总公司。</w:t>
      </w:r>
    </w:p>
    <w:p w14:paraId="79546CDF">
      <w:pPr>
        <w:spacing w:before="0" w:line="56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rPr>
        <w:t>乙方明确</w:t>
      </w:r>
      <w:r>
        <w:rPr>
          <w:rFonts w:hint="eastAsia" w:hAnsi="仿宋_GB2312" w:eastAsia="仿宋_GB2312" w:cs="仿宋_GB2312"/>
          <w:color w:val="auto"/>
          <w:kern w:val="2"/>
          <w:sz w:val="32"/>
          <w:szCs w:val="32"/>
          <w:highlight w:val="none"/>
          <w:lang w:val="en-US" w:eastAsia="zh-CN"/>
        </w:rPr>
        <w:t>知悉并认可</w:t>
      </w:r>
      <w:r>
        <w:rPr>
          <w:rFonts w:hint="eastAsia" w:ascii="仿宋_GB2312" w:hAnsi="仿宋_GB2312" w:eastAsia="仿宋_GB2312" w:cs="仿宋_GB2312"/>
          <w:color w:val="auto"/>
          <w:kern w:val="2"/>
          <w:sz w:val="32"/>
          <w:szCs w:val="32"/>
          <w:highlight w:val="none"/>
        </w:rPr>
        <w:t>，甲方系依据授权书（附件</w:t>
      </w:r>
      <w:r>
        <w:rPr>
          <w:rFonts w:hint="eastAsia"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rPr>
        <w:t>）与乙方签订本合同开展相关服务，</w:t>
      </w:r>
      <w:r>
        <w:rPr>
          <w:rFonts w:hint="eastAsia" w:ascii="仿宋_GB2312" w:hAnsi="仿宋_GB2312" w:eastAsia="仿宋_GB2312" w:cs="仿宋_GB2312"/>
          <w:color w:val="auto"/>
          <w:sz w:val="32"/>
          <w:szCs w:val="32"/>
          <w:highlight w:val="none"/>
          <w:lang w:val="en-US" w:eastAsia="zh-CN"/>
        </w:rPr>
        <w:t>甲方对各</w:t>
      </w:r>
      <w:r>
        <w:rPr>
          <w:rFonts w:hint="eastAsia" w:hAnsi="仿宋_GB2312" w:eastAsia="仿宋_GB2312" w:cs="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lang w:val="en-US" w:eastAsia="zh-CN"/>
        </w:rPr>
        <w:t>费用不承担连带清偿责任。</w:t>
      </w:r>
      <w:r>
        <w:rPr>
          <w:rFonts w:hint="eastAsia" w:ascii="仿宋_GB2312" w:hAnsi="仿宋_GB2312" w:eastAsia="仿宋_GB2312" w:cs="仿宋_GB2312"/>
          <w:color w:val="auto"/>
          <w:kern w:val="2"/>
          <w:sz w:val="32"/>
          <w:szCs w:val="32"/>
          <w:highlight w:val="none"/>
        </w:rPr>
        <w:t>本合同项下所产生的费用乙方应依据</w:t>
      </w:r>
      <w:r>
        <w:rPr>
          <w:rFonts w:hint="eastAsia" w:ascii="仿宋_GB2312" w:hAnsi="仿宋_GB2312" w:eastAsia="仿宋_GB2312" w:cs="仿宋_GB2312"/>
          <w:color w:val="auto"/>
          <w:kern w:val="2"/>
          <w:sz w:val="32"/>
          <w:szCs w:val="32"/>
          <w:highlight w:val="none"/>
          <w:lang w:val="en-US" w:eastAsia="zh-CN"/>
        </w:rPr>
        <w:t>与甲方</w:t>
      </w:r>
      <w:r>
        <w:rPr>
          <w:rFonts w:hint="eastAsia" w:ascii="仿宋_GB2312" w:hAnsi="仿宋_GB2312" w:eastAsia="仿宋_GB2312" w:cs="仿宋_GB2312"/>
          <w:color w:val="auto"/>
          <w:kern w:val="2"/>
          <w:sz w:val="32"/>
          <w:szCs w:val="32"/>
          <w:highlight w:val="none"/>
        </w:rPr>
        <w:t>确认的</w:t>
      </w: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最终评估报告</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向各</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费用</w:t>
      </w:r>
      <w:r>
        <w:rPr>
          <w:rFonts w:hint="eastAsia" w:ascii="仿宋_GB2312" w:hAnsi="仿宋_GB2312" w:eastAsia="仿宋_GB2312" w:cs="仿宋_GB2312"/>
          <w:color w:val="auto"/>
          <w:kern w:val="2"/>
          <w:sz w:val="32"/>
          <w:szCs w:val="32"/>
          <w:highlight w:val="none"/>
          <w:lang w:val="en-US" w:eastAsia="zh-CN"/>
        </w:rPr>
        <w:t>支付</w:t>
      </w:r>
      <w:r>
        <w:rPr>
          <w:rFonts w:hint="eastAsia" w:ascii="仿宋_GB2312" w:hAnsi="仿宋_GB2312" w:eastAsia="仿宋_GB2312" w:cs="仿宋_GB2312"/>
          <w:color w:val="auto"/>
          <w:kern w:val="2"/>
          <w:sz w:val="32"/>
          <w:szCs w:val="32"/>
          <w:highlight w:val="none"/>
        </w:rPr>
        <w:t>主体</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主张，</w:t>
      </w:r>
      <w:r>
        <w:rPr>
          <w:rFonts w:hint="eastAsia" w:ascii="仿宋_GB2312" w:hAnsi="仿宋_GB2312" w:eastAsia="仿宋_GB2312" w:cs="仿宋_GB2312"/>
          <w:color w:val="auto"/>
          <w:sz w:val="32"/>
          <w:szCs w:val="32"/>
          <w:highlight w:val="none"/>
          <w:lang w:val="en-US" w:eastAsia="zh-CN"/>
        </w:rPr>
        <w:t>各项目公司即海口江东新区城市投资有限公司、海口市恒睿安居置业有限公司</w:t>
      </w:r>
      <w:r>
        <w:rPr>
          <w:rFonts w:hint="eastAsia"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海南省桂林洋房地产开发总公司</w:t>
      </w:r>
      <w:r>
        <w:rPr>
          <w:rFonts w:hint="eastAsia" w:ascii="仿宋_GB2312" w:hAnsi="仿宋_GB2312" w:eastAsia="仿宋_GB2312" w:cs="仿宋_GB2312"/>
          <w:color w:val="auto"/>
          <w:sz w:val="32"/>
          <w:szCs w:val="32"/>
          <w:highlight w:val="none"/>
          <w:lang w:val="en-US" w:eastAsia="zh-CN"/>
        </w:rPr>
        <w:t>对费用不承担连带清偿责任，且乙方不可要求项目公司之间承担连带清偿责任。</w:t>
      </w:r>
    </w:p>
    <w:p w14:paraId="41EBA719">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3.服务范围：</w:t>
      </w:r>
    </w:p>
    <w:p w14:paraId="14A58BAC">
      <w:pPr>
        <w:spacing w:line="560" w:lineRule="exact"/>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kern w:val="0"/>
          <w:sz w:val="32"/>
          <w:szCs w:val="32"/>
          <w:highlight w:val="none"/>
        </w:rPr>
        <w:t>项目名称：</w:t>
      </w:r>
      <w:permStart w:id="2" w:edGrp="everyone"/>
      <w:r>
        <w:rPr>
          <w:rFonts w:hint="eastAsia" w:ascii="仿宋_GB2312" w:hAnsi="仿宋_GB2312" w:eastAsia="仿宋_GB2312" w:cs="仿宋_GB2312"/>
          <w:color w:val="auto"/>
          <w:kern w:val="0"/>
          <w:sz w:val="32"/>
          <w:szCs w:val="32"/>
          <w:highlight w:val="none"/>
          <w:lang w:val="en-US" w:eastAsia="zh-CN"/>
        </w:rPr>
        <w:t>江东·梧桐里、江东·悦海、青春东岸项目未售商铺</w:t>
      </w:r>
      <w:r>
        <w:rPr>
          <w:rFonts w:hint="eastAsia" w:ascii="仿宋_GB2312" w:hAnsi="仿宋_GB2312" w:eastAsia="仿宋_GB2312" w:cs="仿宋_GB2312"/>
          <w:color w:val="auto"/>
          <w:sz w:val="32"/>
          <w:szCs w:val="32"/>
          <w:highlight w:val="none"/>
          <w:lang w:val="en-US" w:eastAsia="zh-CN"/>
        </w:rPr>
        <w:t>市场租金</w:t>
      </w:r>
      <w:r>
        <w:rPr>
          <w:rFonts w:hint="eastAsia" w:ascii="仿宋_GB2312" w:hAnsi="仿宋_GB2312" w:eastAsia="仿宋_GB2312" w:cs="仿宋_GB2312"/>
          <w:color w:val="auto"/>
          <w:kern w:val="0"/>
          <w:sz w:val="32"/>
          <w:szCs w:val="32"/>
          <w:highlight w:val="none"/>
          <w:lang w:val="en-US" w:eastAsia="zh-CN"/>
        </w:rPr>
        <w:t>评估服务项目</w:t>
      </w:r>
    </w:p>
    <w:permEnd w:id="2"/>
    <w:p w14:paraId="15EF45EA">
      <w:pPr>
        <w:numPr>
          <w:ilvl w:val="-1"/>
          <w:numId w:val="0"/>
        </w:numPr>
        <w:spacing w:line="560" w:lineRule="exact"/>
        <w:ind w:leftChars="0" w:firstLine="640" w:firstLineChars="200"/>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项目地点：</w:t>
      </w:r>
      <w:permStart w:id="3" w:edGrp="everyone"/>
      <w:r>
        <w:rPr>
          <w:rFonts w:hint="eastAsia" w:ascii="仿宋_GB2312" w:hAnsi="仿宋_GB2312" w:eastAsia="仿宋_GB2312" w:cs="仿宋_GB2312"/>
          <w:color w:val="auto"/>
          <w:kern w:val="2"/>
          <w:sz w:val="32"/>
          <w:szCs w:val="32"/>
          <w:highlight w:val="none"/>
          <w:lang w:val="en-US" w:eastAsia="zh-CN"/>
        </w:rPr>
        <w:t>海南省海口市江东新区</w:t>
      </w:r>
      <w:permEnd w:id="3"/>
    </w:p>
    <w:p w14:paraId="233360C9">
      <w:pPr>
        <w:numPr>
          <w:ilvl w:val="-1"/>
          <w:numId w:val="0"/>
        </w:numPr>
        <w:spacing w:line="560" w:lineRule="exact"/>
        <w:ind w:leftChars="0" w:firstLine="640" w:firstLineChars="200"/>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3</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评估目的：</w:t>
      </w:r>
      <w:r>
        <w:rPr>
          <w:rFonts w:hint="eastAsia" w:ascii="仿宋_GB2312" w:hAnsi="仿宋_GB2312" w:eastAsia="仿宋_GB2312" w:cs="仿宋_GB2312"/>
          <w:color w:val="auto"/>
          <w:kern w:val="2"/>
          <w:sz w:val="32"/>
          <w:szCs w:val="32"/>
          <w:highlight w:val="none"/>
          <w:lang w:val="zh-CN"/>
        </w:rPr>
        <w:t>本次评估旨在通过对项目所在区域的商业市场状况、同类商铺租金水平及未来趋势进行专业分析，为委托方确定本项目商铺的市场租金参考价及基于收益法的建议销售价格区间提供客观、公正的决策依据。</w:t>
      </w:r>
    </w:p>
    <w:p w14:paraId="61E2C02B">
      <w:pPr>
        <w:numPr>
          <w:ilvl w:val="-1"/>
          <w:numId w:val="0"/>
        </w:numPr>
        <w:spacing w:line="560" w:lineRule="exact"/>
        <w:ind w:leftChars="0" w:firstLine="640" w:firstLineChars="200"/>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评估对象和评估范围</w:t>
      </w:r>
      <w:r>
        <w:rPr>
          <w:rFonts w:hint="eastAsia" w:ascii="仿宋_GB2312" w:hAnsi="仿宋_GB2312" w:eastAsia="仿宋_GB2312" w:cs="仿宋_GB2312"/>
          <w:color w:val="auto"/>
          <w:kern w:val="2"/>
          <w:sz w:val="32"/>
          <w:szCs w:val="32"/>
          <w:highlight w:val="none"/>
          <w:lang w:val="en-US" w:eastAsia="zh-CN"/>
        </w:rPr>
        <w:t>如下</w:t>
      </w:r>
      <w:r>
        <w:rPr>
          <w:rFonts w:hint="eastAsia" w:ascii="仿宋_GB2312" w:hAnsi="仿宋_GB2312" w:eastAsia="仿宋_GB2312" w:cs="仿宋_GB2312"/>
          <w:color w:val="auto"/>
          <w:kern w:val="2"/>
          <w:sz w:val="32"/>
          <w:szCs w:val="32"/>
          <w:highlight w:val="none"/>
        </w:rPr>
        <w:t>：</w:t>
      </w:r>
      <w:permStart w:id="4" w:edGrp="everyone"/>
    </w:p>
    <w:permEnd w:id="4"/>
    <w:p w14:paraId="4879EC53">
      <w:pPr>
        <w:numPr>
          <w:ilvl w:val="-1"/>
          <w:numId w:val="0"/>
        </w:numPr>
        <w:spacing w:line="560" w:lineRule="exact"/>
        <w:ind w:left="0" w:firstLine="640" w:firstLineChars="200"/>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1）甲方向乙方提供《评估对象</w:t>
      </w:r>
      <w:r>
        <w:rPr>
          <w:rFonts w:hint="eastAsia" w:hAnsi="仿宋_GB2312" w:eastAsia="仿宋_GB2312" w:cs="仿宋_GB2312"/>
          <w:color w:val="auto"/>
          <w:kern w:val="2"/>
          <w:sz w:val="32"/>
          <w:szCs w:val="32"/>
          <w:highlight w:val="none"/>
          <w:lang w:val="en-US" w:eastAsia="zh-CN"/>
        </w:rPr>
        <w:t>未售商铺</w:t>
      </w:r>
      <w:r>
        <w:rPr>
          <w:rFonts w:hint="eastAsia" w:ascii="仿宋_GB2312" w:hAnsi="仿宋_GB2312" w:eastAsia="仿宋_GB2312" w:cs="仿宋_GB2312"/>
          <w:color w:val="auto"/>
          <w:kern w:val="2"/>
          <w:sz w:val="32"/>
          <w:szCs w:val="32"/>
          <w:highlight w:val="none"/>
          <w:lang w:val="en-US" w:eastAsia="zh-CN"/>
        </w:rPr>
        <w:t>房源清单》，明确评估</w:t>
      </w:r>
      <w:r>
        <w:rPr>
          <w:rFonts w:hint="eastAsia" w:hAnsi="仿宋_GB2312" w:eastAsia="仿宋_GB2312" w:cs="仿宋_GB2312"/>
          <w:color w:val="auto"/>
          <w:kern w:val="2"/>
          <w:sz w:val="32"/>
          <w:szCs w:val="32"/>
          <w:highlight w:val="none"/>
          <w:lang w:val="en-US" w:eastAsia="zh-CN"/>
        </w:rPr>
        <w:t>各项目评估</w:t>
      </w:r>
      <w:r>
        <w:rPr>
          <w:rFonts w:hint="eastAsia" w:ascii="仿宋_GB2312" w:hAnsi="仿宋_GB2312" w:eastAsia="仿宋_GB2312" w:cs="仿宋_GB2312"/>
          <w:color w:val="auto"/>
          <w:kern w:val="2"/>
          <w:sz w:val="32"/>
          <w:szCs w:val="32"/>
          <w:highlight w:val="none"/>
          <w:lang w:val="en-US" w:eastAsia="zh-CN"/>
        </w:rPr>
        <w:t>范围，该清单作为本次评估服务及结算的依据</w:t>
      </w:r>
      <w:r>
        <w:rPr>
          <w:rFonts w:hint="eastAsia" w:hAnsi="仿宋_GB2312" w:eastAsia="仿宋_GB2312" w:cs="仿宋_GB2312"/>
          <w:color w:val="auto"/>
          <w:kern w:val="2"/>
          <w:sz w:val="32"/>
          <w:szCs w:val="32"/>
          <w:highlight w:val="none"/>
          <w:lang w:val="en-US" w:eastAsia="zh-CN"/>
        </w:rPr>
        <w:t>之一</w:t>
      </w:r>
      <w:r>
        <w:rPr>
          <w:rFonts w:hint="eastAsia" w:ascii="仿宋_GB2312" w:hAnsi="仿宋_GB2312" w:eastAsia="仿宋_GB2312" w:cs="仿宋_GB2312"/>
          <w:color w:val="auto"/>
          <w:kern w:val="2"/>
          <w:sz w:val="32"/>
          <w:szCs w:val="32"/>
          <w:highlight w:val="none"/>
          <w:lang w:val="en-US" w:eastAsia="zh-CN"/>
        </w:rPr>
        <w:t>。</w:t>
      </w:r>
    </w:p>
    <w:p w14:paraId="381679C6">
      <w:pPr>
        <w:numPr>
          <w:ilvl w:val="-1"/>
          <w:numId w:val="0"/>
        </w:numPr>
        <w:spacing w:line="560" w:lineRule="exact"/>
        <w:ind w:left="0" w:firstLine="640" w:firstLineChars="200"/>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2）乙方应在收到《评估对象</w:t>
      </w:r>
      <w:r>
        <w:rPr>
          <w:rFonts w:hint="eastAsia" w:hAnsi="仿宋_GB2312" w:eastAsia="仿宋_GB2312" w:cs="仿宋_GB2312"/>
          <w:color w:val="auto"/>
          <w:kern w:val="2"/>
          <w:sz w:val="32"/>
          <w:szCs w:val="32"/>
          <w:highlight w:val="none"/>
          <w:lang w:val="en-US" w:eastAsia="zh-CN"/>
        </w:rPr>
        <w:t>未售商铺</w:t>
      </w:r>
      <w:r>
        <w:rPr>
          <w:rFonts w:hint="eastAsia" w:ascii="仿宋_GB2312" w:hAnsi="仿宋_GB2312" w:eastAsia="仿宋_GB2312" w:cs="仿宋_GB2312"/>
          <w:color w:val="auto"/>
          <w:kern w:val="2"/>
          <w:sz w:val="32"/>
          <w:szCs w:val="32"/>
          <w:highlight w:val="none"/>
          <w:lang w:val="en-US" w:eastAsia="zh-CN"/>
        </w:rPr>
        <w:t>房源清单》后3个工作日内，就清单所列房源是否具备评估条件（如资料完整性、可获取性等）进行核对。若乙方认为存在影响评估工作开展的实质性障碍，应在前述期限内向甲方书面提出；逾期未提出的，视为乙方确认可按甲方提供的清单开展评估工作。</w:t>
      </w:r>
    </w:p>
    <w:p w14:paraId="55FCF90E">
      <w:pPr>
        <w:numPr>
          <w:ilvl w:val="-1"/>
          <w:numId w:val="0"/>
        </w:numPr>
        <w:spacing w:line="576" w:lineRule="exact"/>
        <w:ind w:left="0" w:firstLine="640" w:firstLineChars="200"/>
        <w:rPr>
          <w:rFonts w:hint="eastAsia" w:ascii="仿宋_GB2312" w:hAnsi="仿宋_GB2312" w:eastAsia="仿宋_GB2312" w:cs="仿宋_GB2312"/>
          <w:color w:val="auto"/>
          <w:kern w:val="2"/>
          <w:sz w:val="32"/>
          <w:szCs w:val="32"/>
          <w:highlight w:val="none"/>
          <w:lang w:eastAsia="zh"/>
        </w:rPr>
      </w:pPr>
      <w:r>
        <w:rPr>
          <w:rFonts w:hint="eastAsia" w:ascii="仿宋_GB2312" w:hAnsi="仿宋_GB2312" w:eastAsia="仿宋_GB2312" w:cs="仿宋_GB2312"/>
          <w:color w:val="auto"/>
          <w:kern w:val="2"/>
          <w:sz w:val="32"/>
          <w:szCs w:val="32"/>
          <w:highlight w:val="none"/>
        </w:rPr>
        <w:t>（</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）评估基准日：</w:t>
      </w:r>
      <w:r>
        <w:rPr>
          <w:rFonts w:hint="eastAsia" w:hAnsi="仿宋_GB2312" w:eastAsia="仿宋_GB2312" w:cs="仿宋_GB2312"/>
          <w:color w:val="auto"/>
          <w:kern w:val="2"/>
          <w:sz w:val="32"/>
          <w:szCs w:val="32"/>
          <w:highlight w:val="none"/>
          <w:lang w:eastAsia="zh"/>
        </w:rPr>
        <w:t>甲方</w:t>
      </w:r>
      <w:r>
        <w:rPr>
          <w:rFonts w:hint="default" w:ascii="仿宋_GB2312" w:hAnsi="Times New Roman" w:eastAsia="仿宋_GB2312" w:cs="仿宋_GB2312"/>
          <w:color w:val="auto"/>
          <w:kern w:val="2"/>
          <w:sz w:val="32"/>
          <w:szCs w:val="32"/>
          <w:highlight w:val="none"/>
          <w:lang w:val="en-US" w:eastAsia="zh-CN" w:bidi="ar"/>
        </w:rPr>
        <w:t>将以书面形式（包括纸质通知、电子邮件或双方约定的即时通讯工具记录等）通知</w:t>
      </w:r>
      <w:r>
        <w:rPr>
          <w:rFonts w:hint="eastAsia" w:ascii="仿宋_GB2312" w:hAnsi="Times New Roman" w:eastAsia="仿宋_GB2312" w:cs="仿宋_GB2312"/>
          <w:color w:val="auto"/>
          <w:kern w:val="2"/>
          <w:sz w:val="32"/>
          <w:szCs w:val="32"/>
          <w:highlight w:val="none"/>
          <w:lang w:val="en-US" w:eastAsia="zh" w:bidi="ar"/>
        </w:rPr>
        <w:t>乙方</w:t>
      </w:r>
      <w:r>
        <w:rPr>
          <w:rFonts w:hint="default" w:ascii="仿宋_GB2312" w:hAnsi="Times New Roman" w:eastAsia="仿宋_GB2312" w:cs="仿宋_GB2312"/>
          <w:color w:val="auto"/>
          <w:kern w:val="2"/>
          <w:sz w:val="32"/>
          <w:szCs w:val="32"/>
          <w:highlight w:val="none"/>
          <w:lang w:val="en-US" w:eastAsia="zh-CN" w:bidi="ar"/>
        </w:rPr>
        <w:t>确定的实际评估基准日。</w:t>
      </w:r>
    </w:p>
    <w:p w14:paraId="60675D1D">
      <w:pPr>
        <w:numPr>
          <w:ilvl w:val="-1"/>
          <w:numId w:val="0"/>
        </w:numPr>
        <w:spacing w:line="560" w:lineRule="exact"/>
        <w:ind w:leftChars="0" w:firstLine="640" w:firstLineChars="200"/>
        <w:rPr>
          <w:rFonts w:hint="eastAsia" w:ascii="仿宋_GB2312" w:hAnsi="仿宋_GB2312" w:eastAsia="仿宋_GB2312" w:cs="仿宋_GB2312"/>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二、项目</w:t>
      </w:r>
      <w:r>
        <w:rPr>
          <w:rFonts w:hint="eastAsia" w:ascii="黑体" w:hAnsi="黑体" w:eastAsia="黑体" w:cs="黑体"/>
          <w:b w:val="0"/>
          <w:bCs w:val="0"/>
          <w:color w:val="auto"/>
          <w:kern w:val="2"/>
          <w:sz w:val="32"/>
          <w:szCs w:val="32"/>
          <w:highlight w:val="none"/>
        </w:rPr>
        <w:t>服务内容、要求</w:t>
      </w:r>
    </w:p>
    <w:p w14:paraId="00EB52C7">
      <w:pPr>
        <w:numPr>
          <w:ilvl w:val="-1"/>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1.评估</w:t>
      </w:r>
      <w:r>
        <w:rPr>
          <w:rFonts w:hint="eastAsia" w:ascii="仿宋_GB2312" w:hAnsi="仿宋_GB2312" w:eastAsia="仿宋_GB2312" w:cs="仿宋_GB2312"/>
          <w:color w:val="auto"/>
          <w:kern w:val="2"/>
          <w:sz w:val="32"/>
          <w:szCs w:val="32"/>
          <w:highlight w:val="none"/>
        </w:rPr>
        <w:t>内容：</w:t>
      </w:r>
      <w:permStart w:id="5" w:edGrp="everyone"/>
      <w:r>
        <w:rPr>
          <w:rFonts w:hint="eastAsia" w:ascii="仿宋_GB2312" w:hAnsi="仿宋_GB2312" w:eastAsia="仿宋_GB2312" w:cs="仿宋_GB2312"/>
          <w:color w:val="auto"/>
          <w:kern w:val="2"/>
          <w:sz w:val="32"/>
          <w:szCs w:val="32"/>
          <w:highlight w:val="none"/>
        </w:rPr>
        <w:t>编制《</w:t>
      </w:r>
      <w:r>
        <w:rPr>
          <w:rFonts w:hint="eastAsia" w:ascii="仿宋_GB2312" w:hAnsi="仿宋_GB2312" w:eastAsia="仿宋_GB2312" w:cs="仿宋_GB2312"/>
          <w:color w:val="auto"/>
          <w:kern w:val="2"/>
          <w:sz w:val="32"/>
          <w:szCs w:val="32"/>
          <w:highlight w:val="none"/>
          <w:lang w:val="en-US" w:eastAsia="zh-CN"/>
        </w:rPr>
        <w:t>江东·梧桐里、江东·悦海、青春东岸项目未售商铺市场租金评估报告</w:t>
      </w:r>
      <w:r>
        <w:rPr>
          <w:rFonts w:hint="eastAsia" w:ascii="仿宋_GB2312" w:hAnsi="仿宋_GB2312" w:eastAsia="仿宋_GB2312" w:cs="仿宋_GB2312"/>
          <w:color w:val="auto"/>
          <w:kern w:val="2"/>
          <w:sz w:val="32"/>
          <w:szCs w:val="32"/>
          <w:highlight w:val="none"/>
        </w:rPr>
        <w:t>》（以下简称</w:t>
      </w: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”），含评估说明、测算过程、市场分析</w:t>
      </w:r>
      <w:r>
        <w:rPr>
          <w:rFonts w:hint="eastAsia" w:hAnsi="仿宋_GB2312" w:eastAsia="仿宋_GB2312" w:cs="仿宋_GB2312"/>
          <w:color w:val="auto"/>
          <w:kern w:val="2"/>
          <w:sz w:val="32"/>
          <w:szCs w:val="32"/>
          <w:highlight w:val="none"/>
          <w:lang w:eastAsia="zh"/>
        </w:rPr>
        <w:t>、租赁方式建议、一房一价评估</w:t>
      </w:r>
      <w:r>
        <w:rPr>
          <w:rFonts w:hint="eastAsia" w:ascii="仿宋_GB2312" w:hAnsi="仿宋_GB2312" w:eastAsia="仿宋_GB2312" w:cs="仿宋_GB2312"/>
          <w:color w:val="auto"/>
          <w:kern w:val="2"/>
          <w:sz w:val="32"/>
          <w:szCs w:val="32"/>
          <w:highlight w:val="none"/>
        </w:rPr>
        <w:t>等配套文件</w:t>
      </w:r>
      <w:r>
        <w:rPr>
          <w:rFonts w:hint="eastAsia" w:ascii="仿宋_GB2312" w:hAnsi="仿宋_GB2312" w:eastAsia="仿宋_GB2312" w:cs="仿宋_GB2312"/>
          <w:color w:val="auto"/>
          <w:kern w:val="2"/>
          <w:sz w:val="32"/>
          <w:szCs w:val="32"/>
          <w:highlight w:val="none"/>
          <w:lang w:eastAsia="zh-CN"/>
        </w:rPr>
        <w:t>。</w:t>
      </w:r>
      <w:permEnd w:id="5"/>
    </w:p>
    <w:p w14:paraId="66206DFB">
      <w:pPr>
        <w:numPr>
          <w:ilvl w:val="-1"/>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2.评估</w:t>
      </w:r>
      <w:r>
        <w:rPr>
          <w:rFonts w:hint="eastAsia" w:ascii="仿宋_GB2312" w:hAnsi="仿宋_GB2312" w:eastAsia="仿宋_GB2312" w:cs="仿宋_GB2312"/>
          <w:color w:val="auto"/>
          <w:kern w:val="2"/>
          <w:sz w:val="32"/>
          <w:szCs w:val="32"/>
          <w:highlight w:val="none"/>
        </w:rPr>
        <w:t>要求：在合同约定的时间内，</w:t>
      </w:r>
      <w:r>
        <w:rPr>
          <w:rFonts w:hint="eastAsia" w:ascii="仿宋_GB2312" w:hAnsi="仿宋_GB2312" w:eastAsia="仿宋_GB2312" w:cs="仿宋_GB2312"/>
          <w:color w:val="auto"/>
          <w:kern w:val="2"/>
          <w:sz w:val="32"/>
          <w:szCs w:val="32"/>
          <w:highlight w:val="none"/>
          <w:lang w:val="en-US" w:eastAsia="zh-CN"/>
        </w:rPr>
        <w:t>乙方</w:t>
      </w:r>
      <w:r>
        <w:rPr>
          <w:rFonts w:hint="eastAsia" w:ascii="仿宋_GB2312" w:hAnsi="仿宋_GB2312" w:eastAsia="仿宋_GB2312" w:cs="仿宋_GB2312"/>
          <w:color w:val="auto"/>
          <w:kern w:val="2"/>
          <w:sz w:val="32"/>
          <w:szCs w:val="32"/>
          <w:highlight w:val="none"/>
        </w:rPr>
        <w:t>向</w:t>
      </w: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提交合格的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，且获得</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或上级单位书面审核通过，</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应满足内容齐全、数据准确、论据充分，且深度符合本项目需求及符合现行国家、地区及行业有关规范和标准及</w:t>
      </w: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的合理要求。</w:t>
      </w:r>
    </w:p>
    <w:p w14:paraId="15E04F67">
      <w:pPr>
        <w:numPr>
          <w:ilvl w:val="-1"/>
          <w:numId w:val="0"/>
        </w:numPr>
        <w:spacing w:line="560" w:lineRule="exact"/>
        <w:ind w:firstLine="640" w:firstLineChars="200"/>
        <w:jc w:val="left"/>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3.成果形式：</w:t>
      </w:r>
      <w:r>
        <w:rPr>
          <w:rFonts w:hint="eastAsia" w:ascii="仿宋_GB2312" w:hAnsi="仿宋_GB2312" w:eastAsia="仿宋_GB2312" w:cs="仿宋_GB2312"/>
          <w:color w:val="auto"/>
          <w:kern w:val="2"/>
          <w:sz w:val="32"/>
          <w:szCs w:val="32"/>
          <w:highlight w:val="none"/>
          <w:lang w:val="en-US" w:eastAsia="zh-CN"/>
        </w:rPr>
        <w:t>乙方</w:t>
      </w:r>
      <w:r>
        <w:rPr>
          <w:rFonts w:hint="eastAsia" w:ascii="仿宋_GB2312" w:hAnsi="仿宋_GB2312" w:eastAsia="仿宋_GB2312" w:cs="仿宋_GB2312"/>
          <w:color w:val="auto"/>
          <w:kern w:val="2"/>
          <w:sz w:val="32"/>
          <w:szCs w:val="32"/>
          <w:highlight w:val="none"/>
        </w:rPr>
        <w:t>提交成果的形式为纸质版</w:t>
      </w:r>
      <w:r>
        <w:rPr>
          <w:rFonts w:hint="eastAsia" w:hAnsi="仿宋_GB2312" w:eastAsia="仿宋_GB2312" w:cs="仿宋_GB2312"/>
          <w:color w:val="auto"/>
          <w:kern w:val="2"/>
          <w:sz w:val="32"/>
          <w:szCs w:val="32"/>
          <w:highlight w:val="none"/>
          <w:lang w:eastAsia="zh-CN"/>
        </w:rPr>
        <w:t>评估报告</w:t>
      </w:r>
      <w:r>
        <w:rPr>
          <w:rFonts w:hint="eastAsia" w:ascii="仿宋_GB2312" w:hAnsi="仿宋_GB2312" w:eastAsia="仿宋_GB2312" w:cs="仿宋_GB2312"/>
          <w:color w:val="auto"/>
          <w:kern w:val="2"/>
          <w:sz w:val="32"/>
          <w:szCs w:val="32"/>
          <w:highlight w:val="none"/>
        </w:rPr>
        <w:t>一式</w:t>
      </w:r>
      <w:permStart w:id="6" w:edGrp="everyone"/>
      <w:r>
        <w:rPr>
          <w:rFonts w:hint="eastAsia" w:ascii="仿宋_GB2312" w:hAnsi="仿宋_GB2312" w:eastAsia="仿宋_GB2312" w:cs="仿宋_GB2312"/>
          <w:color w:val="auto"/>
          <w:kern w:val="2"/>
          <w:sz w:val="32"/>
          <w:szCs w:val="32"/>
          <w:highlight w:val="none"/>
          <w:lang w:val="en-US"/>
        </w:rPr>
        <w:t>陆</w:t>
      </w:r>
      <w:permEnd w:id="6"/>
      <w:r>
        <w:rPr>
          <w:rFonts w:hint="eastAsia" w:ascii="仿宋_GB2312" w:hAnsi="仿宋_GB2312" w:eastAsia="仿宋_GB2312" w:cs="仿宋_GB2312"/>
          <w:color w:val="auto"/>
          <w:kern w:val="2"/>
          <w:sz w:val="32"/>
          <w:szCs w:val="32"/>
          <w:highlight w:val="none"/>
        </w:rPr>
        <w:t>份，电子版</w:t>
      </w:r>
      <w:r>
        <w:rPr>
          <w:rFonts w:hint="eastAsia" w:hAnsi="仿宋_GB2312" w:eastAsia="仿宋_GB2312" w:cs="仿宋_GB2312"/>
          <w:color w:val="auto"/>
          <w:kern w:val="2"/>
          <w:sz w:val="32"/>
          <w:szCs w:val="32"/>
          <w:highlight w:val="none"/>
          <w:lang w:val="en-US" w:eastAsia="zh-CN"/>
        </w:rPr>
        <w:t>评估报告</w:t>
      </w:r>
      <w:r>
        <w:rPr>
          <w:rFonts w:hint="eastAsia" w:ascii="仿宋_GB2312" w:hAnsi="仿宋_GB2312" w:eastAsia="仿宋_GB2312" w:cs="仿宋_GB2312"/>
          <w:color w:val="auto"/>
          <w:kern w:val="2"/>
          <w:sz w:val="32"/>
          <w:szCs w:val="32"/>
          <w:highlight w:val="none"/>
        </w:rPr>
        <w:t>一式</w:t>
      </w:r>
      <w:permStart w:id="7" w:edGrp="everyone"/>
      <w:r>
        <w:rPr>
          <w:rFonts w:hint="eastAsia" w:ascii="仿宋_GB2312" w:hAnsi="仿宋_GB2312" w:eastAsia="仿宋_GB2312" w:cs="仿宋_GB2312"/>
          <w:color w:val="auto"/>
          <w:kern w:val="2"/>
          <w:sz w:val="32"/>
          <w:szCs w:val="32"/>
          <w:highlight w:val="none"/>
        </w:rPr>
        <w:t>壹</w:t>
      </w:r>
      <w:permEnd w:id="7"/>
      <w:r>
        <w:rPr>
          <w:rFonts w:hint="eastAsia" w:ascii="仿宋_GB2312" w:hAnsi="仿宋_GB2312" w:eastAsia="仿宋_GB2312" w:cs="仿宋_GB2312"/>
          <w:color w:val="auto"/>
          <w:kern w:val="2"/>
          <w:sz w:val="32"/>
          <w:szCs w:val="32"/>
          <w:highlight w:val="none"/>
        </w:rPr>
        <w:t>份。</w:t>
      </w:r>
    </w:p>
    <w:p w14:paraId="4280692C">
      <w:pPr>
        <w:numPr>
          <w:ilvl w:val="-1"/>
          <w:numId w:val="0"/>
        </w:numPr>
        <w:spacing w:line="560" w:lineRule="exact"/>
        <w:ind w:leftChars="0" w:firstLine="640" w:firstLineChars="200"/>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三、</w:t>
      </w:r>
      <w:r>
        <w:rPr>
          <w:rFonts w:hint="eastAsia" w:ascii="黑体" w:hAnsi="黑体" w:eastAsia="黑体" w:cs="黑体"/>
          <w:b w:val="0"/>
          <w:bCs w:val="0"/>
          <w:color w:val="auto"/>
          <w:kern w:val="2"/>
          <w:sz w:val="32"/>
          <w:szCs w:val="32"/>
          <w:highlight w:val="none"/>
        </w:rPr>
        <w:t>合同金额与付款方式</w:t>
      </w:r>
    </w:p>
    <w:p w14:paraId="26505AB6">
      <w:pPr>
        <w:spacing w:line="560" w:lineRule="exact"/>
        <w:ind w:firstLine="640" w:firstLineChars="200"/>
        <w:rPr>
          <w:rFonts w:hint="eastAsia"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lang w:val="en-US" w:eastAsia="zh-CN"/>
        </w:rPr>
        <w:t>甲乙双方商定，</w:t>
      </w:r>
      <w:r>
        <w:rPr>
          <w:rFonts w:hint="eastAsia" w:ascii="方正仿宋_GB2312" w:hAnsi="方正仿宋_GB2312" w:eastAsia="方正仿宋_GB2312" w:cs="方正仿宋_GB2312"/>
          <w:color w:val="auto"/>
          <w:kern w:val="2"/>
          <w:sz w:val="32"/>
          <w:szCs w:val="32"/>
          <w:highlight w:val="none"/>
          <w:lang w:val="en-US" w:eastAsia="zh-CN" w:bidi="ar-SA"/>
        </w:rPr>
        <w:t>本次服务费为固定总价包干，</w:t>
      </w:r>
      <w:r>
        <w:rPr>
          <w:rFonts w:hint="eastAsia" w:ascii="仿宋_GB2312" w:hAnsi="仿宋_GB2312" w:eastAsia="仿宋_GB2312" w:cs="仿宋_GB2312"/>
          <w:color w:val="auto"/>
          <w:kern w:val="2"/>
          <w:sz w:val="32"/>
          <w:szCs w:val="32"/>
          <w:highlight w:val="none"/>
          <w:lang w:val="en-US" w:eastAsia="zh-CN"/>
        </w:rPr>
        <w:t>合同含税总价</w:t>
      </w:r>
      <w:r>
        <w:rPr>
          <w:rFonts w:hint="eastAsia" w:hAnsi="仿宋_GB2312" w:eastAsia="仿宋_GB2312"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rPr>
        <w:t>（大写）</w:t>
      </w:r>
      <w:permStart w:id="8"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8"/>
      <w:r>
        <w:rPr>
          <w:rFonts w:hint="eastAsia" w:ascii="仿宋_GB2312" w:hAnsi="仿宋_GB2312" w:eastAsia="仿宋_GB2312" w:cs="仿宋_GB2312"/>
          <w:color w:val="auto"/>
          <w:kern w:val="2"/>
          <w:sz w:val="32"/>
          <w:szCs w:val="32"/>
          <w:highlight w:val="none"/>
        </w:rPr>
        <w:t>（小写：</w:t>
      </w:r>
      <w:permStart w:id="9" w:edGrp="everyone"/>
      <w:r>
        <w:rPr>
          <w:rFonts w:hint="eastAsia" w:ascii="仿宋_GB2312" w:hAnsi="仿宋_GB2312" w:eastAsia="仿宋_GB2312" w:cs="仿宋_GB2312"/>
          <w:color w:val="auto"/>
          <w:kern w:val="2"/>
          <w:sz w:val="32"/>
          <w:szCs w:val="32"/>
          <w:highlight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permEnd w:id="9"/>
      <w:r>
        <w:rPr>
          <w:rFonts w:hint="eastAsia" w:ascii="仿宋_GB2312" w:hAnsi="仿宋_GB2312" w:eastAsia="仿宋_GB2312" w:cs="仿宋_GB2312"/>
          <w:color w:val="auto"/>
          <w:kern w:val="2"/>
          <w:sz w:val="32"/>
          <w:szCs w:val="32"/>
          <w:highlight w:val="none"/>
        </w:rPr>
        <w:t>元），税率：</w:t>
      </w:r>
      <w:permStart w:id="10"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0"/>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rPr>
        <w:t>%，不含税总价（大写）</w:t>
      </w:r>
      <w:permStart w:id="11"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1"/>
      <w:r>
        <w:rPr>
          <w:rFonts w:hint="eastAsia" w:ascii="仿宋_GB2312" w:hAnsi="仿宋_GB2312" w:eastAsia="仿宋_GB2312" w:cs="仿宋_GB2312"/>
          <w:color w:val="auto"/>
          <w:kern w:val="2"/>
          <w:sz w:val="32"/>
          <w:szCs w:val="32"/>
          <w:highlight w:val="none"/>
        </w:rPr>
        <w:t xml:space="preserve"> </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小写：¥</w:t>
      </w:r>
      <w:permStart w:id="12"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2"/>
      <w:r>
        <w:rPr>
          <w:rFonts w:hint="eastAsia" w:ascii="仿宋_GB2312" w:hAnsi="仿宋_GB2312" w:eastAsia="仿宋_GB2312" w:cs="仿宋_GB2312"/>
          <w:color w:val="auto"/>
          <w:kern w:val="2"/>
          <w:sz w:val="32"/>
          <w:szCs w:val="32"/>
          <w:highlight w:val="none"/>
        </w:rPr>
        <w:t>元</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w:t>
      </w:r>
      <w:r>
        <w:rPr>
          <w:rFonts w:hint="eastAsia" w:hAnsi="仿宋_GB2312" w:eastAsia="仿宋_GB2312" w:cs="仿宋_GB2312"/>
          <w:color w:val="auto"/>
          <w:kern w:val="2"/>
          <w:sz w:val="32"/>
          <w:szCs w:val="32"/>
          <w:highlight w:val="none"/>
          <w:lang w:val="en-US" w:eastAsia="zh-CN"/>
        </w:rPr>
        <w:t>其中：</w:t>
      </w:r>
    </w:p>
    <w:p w14:paraId="111E2847">
      <w:pPr>
        <w:spacing w:line="560" w:lineRule="exact"/>
        <w:ind w:firstLine="640" w:firstLineChars="200"/>
        <w:rPr>
          <w:rFonts w:hint="eastAsia" w:hAnsi="仿宋_GB2312" w:eastAsia="仿宋_GB2312" w:cs="仿宋_GB2312"/>
          <w:color w:val="auto"/>
          <w:kern w:val="2"/>
          <w:sz w:val="32"/>
          <w:szCs w:val="32"/>
          <w:highlight w:val="none"/>
          <w:lang w:eastAsia="zh-CN"/>
        </w:rPr>
      </w:pPr>
      <w:r>
        <w:rPr>
          <w:rFonts w:hint="eastAsia" w:hAnsi="仿宋_GB2312" w:eastAsia="仿宋_GB2312" w:cs="仿宋_GB2312"/>
          <w:color w:val="auto"/>
          <w:kern w:val="2"/>
          <w:sz w:val="32"/>
          <w:szCs w:val="32"/>
          <w:highlight w:val="none"/>
          <w:lang w:val="en-US" w:eastAsia="zh-CN"/>
        </w:rPr>
        <w:t>（1）江东·梧桐里项目评估服务费为含税总价</w:t>
      </w:r>
      <w:r>
        <w:rPr>
          <w:rFonts w:hint="eastAsia" w:ascii="仿宋_GB2312" w:hAnsi="仿宋_GB2312" w:eastAsia="仿宋_GB2312" w:cs="仿宋_GB2312"/>
          <w:color w:val="auto"/>
          <w:kern w:val="2"/>
          <w:sz w:val="32"/>
          <w:szCs w:val="32"/>
          <w:highlight w:val="none"/>
        </w:rPr>
        <w:t>（大写）</w:t>
      </w:r>
      <w:permStart w:id="13"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3"/>
      <w:r>
        <w:rPr>
          <w:rFonts w:hint="eastAsia" w:ascii="仿宋_GB2312" w:hAnsi="仿宋_GB2312" w:eastAsia="仿宋_GB2312" w:cs="仿宋_GB2312"/>
          <w:color w:val="auto"/>
          <w:kern w:val="2"/>
          <w:sz w:val="32"/>
          <w:szCs w:val="32"/>
          <w:highlight w:val="none"/>
        </w:rPr>
        <w:t>（小写：</w:t>
      </w:r>
      <w:permStart w:id="14" w:edGrp="everyone"/>
      <w:r>
        <w:rPr>
          <w:rFonts w:hint="eastAsia" w:ascii="仿宋_GB2312" w:hAnsi="仿宋_GB2312" w:eastAsia="仿宋_GB2312" w:cs="仿宋_GB2312"/>
          <w:color w:val="auto"/>
          <w:kern w:val="2"/>
          <w:sz w:val="32"/>
          <w:szCs w:val="32"/>
          <w:highlight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permEnd w:id="14"/>
      <w:r>
        <w:rPr>
          <w:rFonts w:hint="eastAsia" w:ascii="仿宋_GB2312" w:hAnsi="仿宋_GB2312" w:eastAsia="仿宋_GB2312" w:cs="仿宋_GB2312"/>
          <w:color w:val="auto"/>
          <w:kern w:val="2"/>
          <w:sz w:val="32"/>
          <w:szCs w:val="32"/>
          <w:highlight w:val="none"/>
        </w:rPr>
        <w:t>元），税率：</w:t>
      </w:r>
      <w:permStart w:id="15"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5"/>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rPr>
        <w:t>%，不含税总价（大写）</w:t>
      </w:r>
      <w:permStart w:id="16"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6"/>
      <w:r>
        <w:rPr>
          <w:rFonts w:hint="eastAsia" w:ascii="仿宋_GB2312" w:hAnsi="仿宋_GB2312" w:eastAsia="仿宋_GB2312" w:cs="仿宋_GB2312"/>
          <w:color w:val="auto"/>
          <w:kern w:val="2"/>
          <w:sz w:val="32"/>
          <w:szCs w:val="32"/>
          <w:highlight w:val="none"/>
        </w:rPr>
        <w:t xml:space="preserve"> </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小写：¥</w:t>
      </w:r>
      <w:permStart w:id="17"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7"/>
      <w:r>
        <w:rPr>
          <w:rFonts w:hint="eastAsia" w:ascii="仿宋_GB2312" w:hAnsi="仿宋_GB2312" w:eastAsia="仿宋_GB2312" w:cs="仿宋_GB2312"/>
          <w:color w:val="auto"/>
          <w:kern w:val="2"/>
          <w:sz w:val="32"/>
          <w:szCs w:val="32"/>
          <w:highlight w:val="none"/>
        </w:rPr>
        <w:t>元</w:t>
      </w:r>
      <w:r>
        <w:rPr>
          <w:rFonts w:hint="eastAsia" w:hAnsi="仿宋_GB2312" w:eastAsia="仿宋_GB2312" w:cs="仿宋_GB2312"/>
          <w:color w:val="auto"/>
          <w:kern w:val="2"/>
          <w:sz w:val="32"/>
          <w:szCs w:val="32"/>
          <w:highlight w:val="none"/>
          <w:lang w:eastAsia="zh-CN"/>
        </w:rPr>
        <w:t>）；</w:t>
      </w:r>
    </w:p>
    <w:p w14:paraId="4D9775D9">
      <w:pPr>
        <w:spacing w:line="560" w:lineRule="exact"/>
        <w:ind w:firstLine="640" w:firstLineChars="200"/>
        <w:rPr>
          <w:rFonts w:hint="default"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2</w:t>
      </w: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江东·悦海项目评估服务费为含税总价</w:t>
      </w:r>
      <w:r>
        <w:rPr>
          <w:rFonts w:hint="eastAsia" w:ascii="仿宋_GB2312" w:hAnsi="仿宋_GB2312" w:eastAsia="仿宋_GB2312" w:cs="仿宋_GB2312"/>
          <w:color w:val="auto"/>
          <w:kern w:val="2"/>
          <w:sz w:val="32"/>
          <w:szCs w:val="32"/>
          <w:highlight w:val="none"/>
        </w:rPr>
        <w:t>（大写）</w:t>
      </w:r>
      <w:permStart w:id="18"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18"/>
      <w:r>
        <w:rPr>
          <w:rFonts w:hint="eastAsia" w:ascii="仿宋_GB2312" w:hAnsi="仿宋_GB2312" w:eastAsia="仿宋_GB2312" w:cs="仿宋_GB2312"/>
          <w:color w:val="auto"/>
          <w:kern w:val="2"/>
          <w:sz w:val="32"/>
          <w:szCs w:val="32"/>
          <w:highlight w:val="none"/>
        </w:rPr>
        <w:t>（小写：</w:t>
      </w:r>
      <w:permStart w:id="19" w:edGrp="everyone"/>
      <w:r>
        <w:rPr>
          <w:rFonts w:hint="eastAsia" w:ascii="仿宋_GB2312" w:hAnsi="仿宋_GB2312" w:eastAsia="仿宋_GB2312" w:cs="仿宋_GB2312"/>
          <w:color w:val="auto"/>
          <w:kern w:val="2"/>
          <w:sz w:val="32"/>
          <w:szCs w:val="32"/>
          <w:highlight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permEnd w:id="19"/>
      <w:r>
        <w:rPr>
          <w:rFonts w:hint="eastAsia" w:ascii="仿宋_GB2312" w:hAnsi="仿宋_GB2312" w:eastAsia="仿宋_GB2312" w:cs="仿宋_GB2312"/>
          <w:color w:val="auto"/>
          <w:kern w:val="2"/>
          <w:sz w:val="32"/>
          <w:szCs w:val="32"/>
          <w:highlight w:val="none"/>
        </w:rPr>
        <w:t>元），税率：</w:t>
      </w:r>
      <w:permStart w:id="20"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0"/>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rPr>
        <w:t>%，不含税总价（大写）</w:t>
      </w:r>
      <w:permStart w:id="21"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1"/>
      <w:r>
        <w:rPr>
          <w:rFonts w:hint="eastAsia" w:ascii="仿宋_GB2312" w:hAnsi="仿宋_GB2312" w:eastAsia="仿宋_GB2312" w:cs="仿宋_GB2312"/>
          <w:color w:val="auto"/>
          <w:kern w:val="2"/>
          <w:sz w:val="32"/>
          <w:szCs w:val="32"/>
          <w:highlight w:val="none"/>
        </w:rPr>
        <w:t xml:space="preserve"> </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小写：¥</w:t>
      </w:r>
      <w:permStart w:id="22"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2"/>
      <w:r>
        <w:rPr>
          <w:rFonts w:hint="eastAsia" w:ascii="仿宋_GB2312" w:hAnsi="仿宋_GB2312" w:eastAsia="仿宋_GB2312" w:cs="仿宋_GB2312"/>
          <w:color w:val="auto"/>
          <w:kern w:val="2"/>
          <w:sz w:val="32"/>
          <w:szCs w:val="32"/>
          <w:highlight w:val="none"/>
        </w:rPr>
        <w:t>元</w:t>
      </w:r>
      <w:r>
        <w:rPr>
          <w:rFonts w:hint="eastAsia" w:hAnsi="仿宋_GB2312" w:eastAsia="仿宋_GB2312" w:cs="仿宋_GB2312"/>
          <w:color w:val="auto"/>
          <w:kern w:val="2"/>
          <w:sz w:val="32"/>
          <w:szCs w:val="32"/>
          <w:highlight w:val="none"/>
          <w:lang w:eastAsia="zh-CN"/>
        </w:rPr>
        <w:t>）；</w:t>
      </w:r>
    </w:p>
    <w:p w14:paraId="6FCAFD50">
      <w:pPr>
        <w:spacing w:line="560" w:lineRule="exact"/>
        <w:ind w:firstLine="640" w:firstLineChars="200"/>
        <w:rPr>
          <w:rFonts w:hint="eastAsia" w:hAnsi="仿宋_GB2312" w:eastAsia="仿宋_GB2312" w:cs="仿宋_GB2312"/>
          <w:color w:val="auto"/>
          <w:kern w:val="2"/>
          <w:sz w:val="32"/>
          <w:szCs w:val="32"/>
          <w:highlight w:val="none"/>
          <w:lang w:eastAsia="zh-CN"/>
        </w:rPr>
      </w:pPr>
      <w:r>
        <w:rPr>
          <w:rFonts w:hint="eastAsia" w:hAnsi="仿宋_GB2312" w:eastAsia="仿宋_GB2312" w:cs="仿宋_GB2312"/>
          <w:color w:val="auto"/>
          <w:kern w:val="2"/>
          <w:sz w:val="32"/>
          <w:szCs w:val="32"/>
          <w:highlight w:val="none"/>
          <w:lang w:val="en-US" w:eastAsia="zh-CN"/>
        </w:rPr>
        <w:t>（3）青春东岸项目评估服务费为含税总价</w:t>
      </w:r>
      <w:r>
        <w:rPr>
          <w:rFonts w:hint="eastAsia" w:ascii="仿宋_GB2312" w:hAnsi="仿宋_GB2312" w:eastAsia="仿宋_GB2312" w:cs="仿宋_GB2312"/>
          <w:color w:val="auto"/>
          <w:kern w:val="2"/>
          <w:sz w:val="32"/>
          <w:szCs w:val="32"/>
          <w:highlight w:val="none"/>
        </w:rPr>
        <w:t>（大写）</w:t>
      </w:r>
      <w:permStart w:id="23"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3"/>
      <w:r>
        <w:rPr>
          <w:rFonts w:hint="eastAsia" w:ascii="仿宋_GB2312" w:hAnsi="仿宋_GB2312" w:eastAsia="仿宋_GB2312" w:cs="仿宋_GB2312"/>
          <w:color w:val="auto"/>
          <w:kern w:val="2"/>
          <w:sz w:val="32"/>
          <w:szCs w:val="32"/>
          <w:highlight w:val="none"/>
        </w:rPr>
        <w:t>（小写：</w:t>
      </w:r>
      <w:permStart w:id="24" w:edGrp="everyone"/>
      <w:r>
        <w:rPr>
          <w:rFonts w:hint="eastAsia" w:ascii="仿宋_GB2312" w:hAnsi="仿宋_GB2312" w:eastAsia="仿宋_GB2312" w:cs="仿宋_GB2312"/>
          <w:color w:val="auto"/>
          <w:kern w:val="2"/>
          <w:sz w:val="32"/>
          <w:szCs w:val="32"/>
          <w:highlight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permEnd w:id="24"/>
      <w:r>
        <w:rPr>
          <w:rFonts w:hint="eastAsia" w:ascii="仿宋_GB2312" w:hAnsi="仿宋_GB2312" w:eastAsia="仿宋_GB2312" w:cs="仿宋_GB2312"/>
          <w:color w:val="auto"/>
          <w:kern w:val="2"/>
          <w:sz w:val="32"/>
          <w:szCs w:val="32"/>
          <w:highlight w:val="none"/>
        </w:rPr>
        <w:t>元），税率：</w:t>
      </w:r>
      <w:permStart w:id="25"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5"/>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rPr>
        <w:t>%，不含税总价（大写）</w:t>
      </w:r>
      <w:permStart w:id="26" w:edGrp="everyone"/>
      <w:r>
        <w:rPr>
          <w:rFonts w:hint="eastAsia" w:ascii="仿宋_GB2312" w:hAnsi="仿宋_GB2312" w:eastAsia="仿宋_GB2312" w:cs="仿宋_GB2312"/>
          <w:color w:val="auto"/>
          <w:kern w:val="2"/>
          <w:sz w:val="32"/>
          <w:szCs w:val="32"/>
          <w:highlight w:val="none"/>
          <w:lang w:val="en-US" w:eastAsia="zh-CN"/>
        </w:rPr>
        <w:t>人民币</w:t>
      </w:r>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6"/>
      <w:r>
        <w:rPr>
          <w:rFonts w:hint="eastAsia" w:ascii="仿宋_GB2312" w:hAnsi="仿宋_GB2312" w:eastAsia="仿宋_GB2312" w:cs="仿宋_GB2312"/>
          <w:color w:val="auto"/>
          <w:kern w:val="2"/>
          <w:sz w:val="32"/>
          <w:szCs w:val="32"/>
          <w:highlight w:val="none"/>
        </w:rPr>
        <w:t xml:space="preserve"> </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小写：¥</w:t>
      </w:r>
      <w:permStart w:id="27" w:edGrp="everyone"/>
      <w:r>
        <w:rPr>
          <w:rFonts w:hint="eastAsia" w:ascii="仿宋_GB2312" w:hAnsi="仿宋_GB2312" w:eastAsia="仿宋_GB2312" w:cs="仿宋_GB2312"/>
          <w:color w:val="auto"/>
          <w:kern w:val="2"/>
          <w:sz w:val="32"/>
          <w:szCs w:val="32"/>
          <w:highlight w:val="none"/>
          <w:u w:val="none"/>
        </w:rPr>
        <w:t xml:space="preserve"> </w:t>
      </w:r>
      <w:r>
        <w:rPr>
          <w:rFonts w:hint="eastAsia" w:ascii="仿宋_GB2312" w:hAnsi="仿宋_GB2312" w:eastAsia="仿宋_GB2312" w:cs="仿宋_GB2312"/>
          <w:color w:val="auto"/>
          <w:kern w:val="2"/>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u w:val="none"/>
        </w:rPr>
        <w:t xml:space="preserve"> </w:t>
      </w:r>
      <w:permEnd w:id="27"/>
      <w:r>
        <w:rPr>
          <w:rFonts w:hint="eastAsia" w:ascii="仿宋_GB2312" w:hAnsi="仿宋_GB2312" w:eastAsia="仿宋_GB2312" w:cs="仿宋_GB2312"/>
          <w:color w:val="auto"/>
          <w:kern w:val="2"/>
          <w:sz w:val="32"/>
          <w:szCs w:val="32"/>
          <w:highlight w:val="none"/>
        </w:rPr>
        <w:t>元</w:t>
      </w:r>
      <w:r>
        <w:rPr>
          <w:rFonts w:hint="eastAsia" w:hAnsi="仿宋_GB2312" w:eastAsia="仿宋_GB2312" w:cs="仿宋_GB2312"/>
          <w:color w:val="auto"/>
          <w:kern w:val="2"/>
          <w:sz w:val="32"/>
          <w:szCs w:val="32"/>
          <w:highlight w:val="none"/>
          <w:lang w:eastAsia="zh-CN"/>
        </w:rPr>
        <w:t>）。</w:t>
      </w:r>
    </w:p>
    <w:p w14:paraId="628FA8A6">
      <w:pPr>
        <w:spacing w:line="560" w:lineRule="exact"/>
        <w:ind w:firstLine="640" w:firstLineChars="200"/>
        <w:rPr>
          <w:rFonts w:hint="default"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附乙方最终中标报价清单。</w:t>
      </w:r>
    </w:p>
    <w:p w14:paraId="28ADBE89">
      <w:pPr>
        <w:spacing w:line="560" w:lineRule="exact"/>
        <w:ind w:firstLine="640" w:firstLineChars="200"/>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2.本合同总价为固定不变价，已包含乙方为完成江东·梧桐里、江东·悦海、青春东岸三个项目未售商铺市场租金评估服务所需的全部费用，包括但不限于</w:t>
      </w:r>
      <w:r>
        <w:rPr>
          <w:rFonts w:hint="eastAsia" w:ascii="仿宋_GB2312" w:hAnsi="仿宋_GB2312" w:eastAsia="仿宋_GB2312" w:cs="仿宋_GB2312"/>
          <w:color w:val="auto"/>
          <w:kern w:val="2"/>
          <w:sz w:val="32"/>
          <w:szCs w:val="32"/>
          <w:highlight w:val="none"/>
        </w:rPr>
        <w:t>：人工费、差旅费、食宿费、交通费、资料费、现场勘查费、评估测算费、报告编制费、打印装订费、版权费、税费及管理利润等乙方为履行本合同义务所发生的一切费用。</w:t>
      </w:r>
      <w:r>
        <w:rPr>
          <w:rFonts w:hint="eastAsia" w:hAnsi="仿宋_GB2312" w:eastAsia="仿宋_GB2312" w:cs="仿宋_GB2312"/>
          <w:color w:val="auto"/>
          <w:kern w:val="2"/>
          <w:sz w:val="32"/>
          <w:szCs w:val="32"/>
          <w:highlight w:val="none"/>
          <w:lang w:val="en-US" w:eastAsia="zh-CN"/>
        </w:rPr>
        <w:t>除本合同另有约定外，无论评估对象建筑面积、商铺数量、工作难度等发生任何变化，</w:t>
      </w:r>
      <w:r>
        <w:rPr>
          <w:rFonts w:hint="eastAsia" w:hAnsi="仿宋_GB2312" w:eastAsia="仿宋_GB2312" w:cs="仿宋_GB2312"/>
          <w:color w:val="auto"/>
          <w:kern w:val="2"/>
          <w:sz w:val="32"/>
          <w:szCs w:val="32"/>
          <w:highlight w:val="none"/>
          <w:lang w:val="en-US" w:eastAsia="zh"/>
        </w:rPr>
        <w:t>项目公司</w:t>
      </w:r>
      <w:r>
        <w:rPr>
          <w:rFonts w:hint="eastAsia" w:hAnsi="仿宋_GB2312" w:eastAsia="仿宋_GB2312" w:cs="仿宋_GB2312"/>
          <w:color w:val="auto"/>
          <w:kern w:val="2"/>
          <w:sz w:val="32"/>
          <w:szCs w:val="32"/>
          <w:highlight w:val="none"/>
          <w:lang w:val="en-US" w:eastAsia="zh-CN"/>
        </w:rPr>
        <w:t>均无需向乙方支付任何额外费用。</w:t>
      </w:r>
      <w:r>
        <w:rPr>
          <w:rFonts w:hint="eastAsia" w:ascii="仿宋_GB2312" w:hAnsi="仿宋_GB2312" w:eastAsia="仿宋_GB2312" w:cs="仿宋_GB2312"/>
          <w:color w:val="auto"/>
          <w:kern w:val="2"/>
          <w:sz w:val="32"/>
          <w:szCs w:val="32"/>
          <w:highlight w:val="none"/>
        </w:rPr>
        <w:t>如遇国家税率调整，则合同不含税金额不变，含税金额相应调整，</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应按纳税义务发生时的税率开具增值税专用发票，税率变化导致价税金额的变更应在进度及结算金额中进行调整。</w:t>
      </w:r>
    </w:p>
    <w:p w14:paraId="38316F91">
      <w:pPr>
        <w:spacing w:line="560" w:lineRule="exact"/>
        <w:ind w:firstLine="640" w:firstLineChars="200"/>
        <w:jc w:val="left"/>
        <w:rPr>
          <w:rFonts w:hint="default" w:ascii="仿宋_GB2312"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3.</w:t>
      </w:r>
      <w:r>
        <w:rPr>
          <w:rFonts w:hint="eastAsia" w:ascii="仿宋_GB2312" w:hAnsi="仿宋_GB2312" w:eastAsia="仿宋_GB2312" w:cs="仿宋_GB2312"/>
          <w:color w:val="auto"/>
          <w:kern w:val="2"/>
          <w:sz w:val="32"/>
          <w:szCs w:val="32"/>
          <w:highlight w:val="none"/>
        </w:rPr>
        <w:t>乙方明确知悉并认可，甲方系依据授权书（附件</w:t>
      </w:r>
      <w:r>
        <w:rPr>
          <w:rFonts w:hint="eastAsia"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rPr>
        <w:t>）与乙方签订本合同开展相关服务，</w:t>
      </w:r>
      <w:r>
        <w:rPr>
          <w:rFonts w:hint="eastAsia" w:ascii="仿宋_GB2312" w:hAnsi="仿宋_GB2312" w:eastAsia="仿宋_GB2312" w:cs="仿宋_GB2312"/>
          <w:color w:val="auto"/>
          <w:sz w:val="32"/>
          <w:szCs w:val="32"/>
          <w:highlight w:val="none"/>
          <w:lang w:val="en-US" w:eastAsia="zh-CN"/>
        </w:rPr>
        <w:t>甲方对各</w:t>
      </w:r>
      <w:r>
        <w:rPr>
          <w:rFonts w:hint="eastAsia" w:hAnsi="仿宋_GB2312" w:eastAsia="仿宋_GB2312" w:cs="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lang w:val="en-US" w:eastAsia="zh-CN"/>
        </w:rPr>
        <w:t>费用不承担连带清偿责任。</w:t>
      </w:r>
      <w:r>
        <w:rPr>
          <w:rFonts w:hint="eastAsia" w:ascii="仿宋_GB2312" w:hAnsi="仿宋_GB2312" w:eastAsia="仿宋_GB2312" w:cs="仿宋_GB2312"/>
          <w:color w:val="auto"/>
          <w:kern w:val="2"/>
          <w:sz w:val="32"/>
          <w:szCs w:val="32"/>
          <w:highlight w:val="none"/>
        </w:rPr>
        <w:t>本合同项下所产生的费用乙方应依据</w:t>
      </w:r>
      <w:r>
        <w:rPr>
          <w:rFonts w:hint="eastAsia" w:ascii="仿宋_GB2312" w:hAnsi="仿宋_GB2312" w:eastAsia="仿宋_GB2312" w:cs="仿宋_GB2312"/>
          <w:color w:val="auto"/>
          <w:kern w:val="2"/>
          <w:sz w:val="32"/>
          <w:szCs w:val="32"/>
          <w:highlight w:val="none"/>
          <w:lang w:val="en-US" w:eastAsia="zh-CN"/>
        </w:rPr>
        <w:t>与甲方</w:t>
      </w:r>
      <w:r>
        <w:rPr>
          <w:rFonts w:hint="eastAsia" w:ascii="仿宋_GB2312" w:hAnsi="仿宋_GB2312" w:eastAsia="仿宋_GB2312" w:cs="仿宋_GB2312"/>
          <w:color w:val="auto"/>
          <w:kern w:val="2"/>
          <w:sz w:val="32"/>
          <w:szCs w:val="32"/>
          <w:highlight w:val="none"/>
        </w:rPr>
        <w:t>确认的</w:t>
      </w: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最终评估报告</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向各</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费用</w:t>
      </w:r>
      <w:r>
        <w:rPr>
          <w:rFonts w:hint="eastAsia" w:ascii="仿宋_GB2312" w:hAnsi="仿宋_GB2312" w:eastAsia="仿宋_GB2312" w:cs="仿宋_GB2312"/>
          <w:color w:val="auto"/>
          <w:kern w:val="2"/>
          <w:sz w:val="32"/>
          <w:szCs w:val="32"/>
          <w:highlight w:val="none"/>
          <w:lang w:val="en-US" w:eastAsia="zh-CN"/>
        </w:rPr>
        <w:t>支付</w:t>
      </w:r>
      <w:r>
        <w:rPr>
          <w:rFonts w:hint="eastAsia" w:ascii="仿宋_GB2312" w:hAnsi="仿宋_GB2312" w:eastAsia="仿宋_GB2312" w:cs="仿宋_GB2312"/>
          <w:color w:val="auto"/>
          <w:kern w:val="2"/>
          <w:sz w:val="32"/>
          <w:szCs w:val="32"/>
          <w:highlight w:val="none"/>
        </w:rPr>
        <w:t>主体</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主张，</w:t>
      </w:r>
      <w:r>
        <w:rPr>
          <w:rFonts w:hint="eastAsia" w:ascii="仿宋_GB2312" w:hAnsi="仿宋_GB2312" w:eastAsia="仿宋_GB2312" w:cs="仿宋_GB2312"/>
          <w:color w:val="auto"/>
          <w:sz w:val="32"/>
          <w:szCs w:val="32"/>
          <w:highlight w:val="none"/>
          <w:lang w:val="en-US" w:eastAsia="zh-CN"/>
        </w:rPr>
        <w:t>各项目公司即海口江东新区城市投资有限公司、海口市恒睿安居置业有限公司</w:t>
      </w:r>
      <w:r>
        <w:rPr>
          <w:rFonts w:hint="eastAsia"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海南省桂林洋房地产开发总公司</w:t>
      </w:r>
      <w:r>
        <w:rPr>
          <w:rFonts w:hint="eastAsia" w:ascii="仿宋_GB2312" w:hAnsi="仿宋_GB2312" w:eastAsia="仿宋_GB2312" w:cs="仿宋_GB2312"/>
          <w:color w:val="auto"/>
          <w:sz w:val="32"/>
          <w:szCs w:val="32"/>
          <w:highlight w:val="none"/>
          <w:lang w:val="en-US" w:eastAsia="zh-CN"/>
        </w:rPr>
        <w:t>对费用不承担连带清偿责任，且乙方不可要求项目公司之间承担连带清偿责任。</w:t>
      </w:r>
    </w:p>
    <w:p w14:paraId="47BE56F4">
      <w:pPr>
        <w:spacing w:line="560" w:lineRule="exact"/>
        <w:ind w:firstLine="640" w:firstLineChars="200"/>
        <w:rPr>
          <w:rFonts w:hint="eastAsia" w:ascii="仿宋_GB2312"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4.委托评估对象情况如下：</w:t>
      </w:r>
    </w:p>
    <w:tbl>
      <w:tblPr>
        <w:tblStyle w:val="12"/>
        <w:tblW w:w="538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96"/>
        <w:gridCol w:w="1361"/>
        <w:gridCol w:w="1831"/>
        <w:gridCol w:w="1485"/>
        <w:gridCol w:w="1858"/>
        <w:gridCol w:w="1446"/>
      </w:tblGrid>
      <w:tr w14:paraId="0FF58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9" w:hRule="atLeast"/>
          <w:jc w:val="center"/>
        </w:trPr>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F0CD9">
            <w:pPr>
              <w:keepNext w:val="0"/>
              <w:keepLines w:val="0"/>
              <w:widowControl/>
              <w:suppressLineNumbers w:val="0"/>
              <w:ind w:firstLine="0" w:firstLineChars="0"/>
              <w:jc w:val="center"/>
              <w:textAlignment w:val="center"/>
              <w:rPr>
                <w:rFonts w:hint="default" w:ascii="仿宋_GB2312" w:hAnsi="仿宋_GB2312" w:eastAsia="仿宋_GB2312" w:cs="仿宋_GB2312"/>
                <w:b/>
                <w:bCs/>
                <w:i w:val="0"/>
                <w:iCs w:val="0"/>
                <w:color w:val="auto"/>
                <w:sz w:val="24"/>
                <w:szCs w:val="24"/>
                <w:highlight w:val="none"/>
                <w:u w:val="none"/>
                <w:lang w:val="en-US"/>
              </w:rPr>
            </w:pPr>
            <w:r>
              <w:rPr>
                <w:rFonts w:hint="default" w:ascii="仿宋_GB2312" w:hAnsi="仿宋_GB2312" w:eastAsia="仿宋_GB2312" w:cs="仿宋_GB2312"/>
                <w:b/>
                <w:bCs/>
                <w:i w:val="0"/>
                <w:iCs w:val="0"/>
                <w:color w:val="auto"/>
                <w:kern w:val="0"/>
                <w:sz w:val="24"/>
                <w:szCs w:val="24"/>
                <w:highlight w:val="none"/>
                <w:u w:val="none"/>
                <w:lang w:val="en-US" w:eastAsia="zh-CN" w:bidi="ar"/>
              </w:rPr>
              <w:t>项目</w:t>
            </w:r>
            <w:r>
              <w:rPr>
                <w:rFonts w:hint="eastAsia" w:hAnsi="仿宋_GB2312" w:eastAsia="仿宋_GB2312" w:cs="仿宋_GB2312"/>
                <w:b/>
                <w:bCs/>
                <w:i w:val="0"/>
                <w:iCs w:val="0"/>
                <w:color w:val="auto"/>
                <w:kern w:val="0"/>
                <w:sz w:val="24"/>
                <w:szCs w:val="24"/>
                <w:highlight w:val="none"/>
                <w:u w:val="none"/>
                <w:lang w:val="en-US" w:eastAsia="zh-CN" w:bidi="ar"/>
              </w:rPr>
              <w:t>名称</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A8734">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产品</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A7238">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产品分布楼栋</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6E514">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套数</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4C5F4">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产品面积</w:t>
            </w:r>
            <w:r>
              <w:rPr>
                <w:rFonts w:hint="eastAsia" w:hAnsi="仿宋_GB2312" w:eastAsia="仿宋_GB2312" w:cs="仿宋_GB2312"/>
                <w:b/>
                <w:bCs/>
                <w:i w:val="0"/>
                <w:iCs w:val="0"/>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hAnsi="仿宋_GB2312" w:eastAsia="仿宋_GB2312" w:cs="仿宋_GB2312"/>
                <w:b/>
                <w:bCs/>
                <w:i w:val="0"/>
                <w:iCs w:val="0"/>
                <w:color w:val="auto"/>
                <w:kern w:val="0"/>
                <w:sz w:val="24"/>
                <w:szCs w:val="24"/>
                <w:highlight w:val="none"/>
                <w:u w:val="none"/>
                <w:lang w:val="en-US" w:eastAsia="zh-CN" w:bidi="ar"/>
              </w:rPr>
              <w:t>）</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343C5">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总面积</w:t>
            </w:r>
            <w:r>
              <w:rPr>
                <w:rFonts w:hint="eastAsia" w:hAnsi="仿宋_GB2312" w:eastAsia="仿宋_GB2312" w:cs="仿宋_GB2312"/>
                <w:b/>
                <w:bCs/>
                <w:i w:val="0"/>
                <w:iCs w:val="0"/>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hAnsi="仿宋_GB2312" w:eastAsia="仿宋_GB2312" w:cs="仿宋_GB2312"/>
                <w:b/>
                <w:bCs/>
                <w:i w:val="0"/>
                <w:iCs w:val="0"/>
                <w:color w:val="auto"/>
                <w:kern w:val="0"/>
                <w:sz w:val="24"/>
                <w:szCs w:val="24"/>
                <w:highlight w:val="none"/>
                <w:u w:val="none"/>
                <w:lang w:val="en-US" w:eastAsia="zh-CN" w:bidi="ar"/>
              </w:rPr>
              <w:t>）</w:t>
            </w:r>
          </w:p>
        </w:tc>
      </w:tr>
      <w:tr w14:paraId="59FFC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7505">
            <w:pPr>
              <w:keepNext w:val="0"/>
              <w:keepLines w:val="0"/>
              <w:widowControl/>
              <w:suppressLineNumbers w:val="0"/>
              <w:ind w:firstLine="0" w:firstLineChars="0"/>
              <w:jc w:val="center"/>
              <w:textAlignment w:val="center"/>
              <w:rPr>
                <w:rFonts w:hint="default"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江东·梧桐里</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D914">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hAnsi="仿宋_GB2312" w:eastAsia="仿宋_GB2312" w:cs="仿宋_GB2312"/>
                <w:i w:val="0"/>
                <w:iCs w:val="0"/>
                <w:color w:val="auto"/>
                <w:kern w:val="0"/>
                <w:sz w:val="24"/>
                <w:szCs w:val="24"/>
                <w:highlight w:val="none"/>
                <w:u w:val="none"/>
                <w:lang w:val="en-US" w:eastAsia="zh-CN" w:bidi="ar"/>
              </w:rPr>
              <w:t>未售</w:t>
            </w:r>
            <w:r>
              <w:rPr>
                <w:rFonts w:hint="eastAsia" w:ascii="仿宋_GB2312" w:hAnsi="仿宋_GB2312" w:eastAsia="仿宋_GB2312" w:cs="仿宋_GB2312"/>
                <w:i w:val="0"/>
                <w:iCs w:val="0"/>
                <w:color w:val="auto"/>
                <w:kern w:val="0"/>
                <w:sz w:val="24"/>
                <w:szCs w:val="24"/>
                <w:highlight w:val="none"/>
                <w:u w:val="none"/>
                <w:lang w:val="en-US" w:eastAsia="zh-CN" w:bidi="ar"/>
              </w:rPr>
              <w:t>商铺</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6C183">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1号楼、2号楼、3号楼</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E782">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32套</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D0197">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31.43-193.84</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2641F">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1922.42</w:t>
            </w:r>
          </w:p>
        </w:tc>
      </w:tr>
      <w:tr w14:paraId="27F7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3" w:hRule="atLeast"/>
          <w:jc w:val="center"/>
        </w:trPr>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66FF">
            <w:pPr>
              <w:keepNext w:val="0"/>
              <w:keepLines w:val="0"/>
              <w:widowControl/>
              <w:suppressLineNumbers w:val="0"/>
              <w:ind w:firstLine="0" w:firstLineChars="0"/>
              <w:jc w:val="center"/>
              <w:textAlignment w:val="center"/>
              <w:rPr>
                <w:rFonts w:hint="default"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江东·悦海</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BF5F7">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hAnsi="仿宋_GB2312" w:eastAsia="仿宋_GB2312" w:cs="仿宋_GB2312"/>
                <w:i w:val="0"/>
                <w:iCs w:val="0"/>
                <w:color w:val="auto"/>
                <w:kern w:val="0"/>
                <w:sz w:val="24"/>
                <w:szCs w:val="24"/>
                <w:highlight w:val="none"/>
                <w:u w:val="none"/>
                <w:lang w:val="en-US" w:eastAsia="zh-CN" w:bidi="ar"/>
              </w:rPr>
              <w:t>未售</w:t>
            </w:r>
            <w:r>
              <w:rPr>
                <w:rFonts w:hint="eastAsia" w:ascii="仿宋_GB2312" w:hAnsi="仿宋_GB2312" w:eastAsia="仿宋_GB2312" w:cs="仿宋_GB2312"/>
                <w:i w:val="0"/>
                <w:iCs w:val="0"/>
                <w:color w:val="auto"/>
                <w:kern w:val="0"/>
                <w:sz w:val="24"/>
                <w:szCs w:val="24"/>
                <w:highlight w:val="none"/>
                <w:u w:val="none"/>
                <w:lang w:val="en-US" w:eastAsia="zh-CN" w:bidi="ar"/>
              </w:rPr>
              <w:t>商铺</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5995D">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3A号楼</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F76AB">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1套</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EADB7">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237.73</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87A95">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237.73</w:t>
            </w:r>
          </w:p>
        </w:tc>
      </w:tr>
      <w:tr w14:paraId="08C6F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8" w:hRule="atLeast"/>
          <w:jc w:val="center"/>
        </w:trPr>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E61B">
            <w:pPr>
              <w:keepNext w:val="0"/>
              <w:keepLines w:val="0"/>
              <w:widowControl/>
              <w:suppressLineNumbers w:val="0"/>
              <w:ind w:firstLine="0" w:firstLineChars="0"/>
              <w:jc w:val="center"/>
              <w:textAlignment w:val="center"/>
              <w:rPr>
                <w:rFonts w:hint="default"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青春东岸</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951AA">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hAnsi="仿宋_GB2312" w:eastAsia="仿宋_GB2312" w:cs="仿宋_GB2312"/>
                <w:i w:val="0"/>
                <w:iCs w:val="0"/>
                <w:color w:val="auto"/>
                <w:kern w:val="0"/>
                <w:sz w:val="24"/>
                <w:szCs w:val="24"/>
                <w:highlight w:val="none"/>
                <w:u w:val="none"/>
                <w:lang w:val="en-US" w:eastAsia="zh-CN" w:bidi="ar"/>
              </w:rPr>
              <w:t>未售</w:t>
            </w:r>
            <w:r>
              <w:rPr>
                <w:rFonts w:hint="eastAsia" w:ascii="仿宋_GB2312" w:hAnsi="仿宋_GB2312" w:eastAsia="仿宋_GB2312" w:cs="仿宋_GB2312"/>
                <w:i w:val="0"/>
                <w:iCs w:val="0"/>
                <w:color w:val="auto"/>
                <w:kern w:val="0"/>
                <w:sz w:val="24"/>
                <w:szCs w:val="24"/>
                <w:highlight w:val="none"/>
                <w:u w:val="none"/>
                <w:lang w:val="en-US" w:eastAsia="zh-CN" w:bidi="ar"/>
              </w:rPr>
              <w:t>商铺</w:t>
            </w:r>
          </w:p>
        </w:tc>
        <w:tc>
          <w:tcPr>
            <w:tcW w:w="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2DE8C">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1号楼</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B4F5E">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3套</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DCAF">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62.35-1056.33</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0FC23">
            <w:pPr>
              <w:keepNext w:val="0"/>
              <w:keepLines w:val="0"/>
              <w:widowControl/>
              <w:suppressLineNumbers w:val="0"/>
              <w:ind w:firstLine="0" w:firstLineChars="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2174.85</w:t>
            </w:r>
          </w:p>
        </w:tc>
      </w:tr>
      <w:tr w14:paraId="2656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249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9DE12">
            <w:pPr>
              <w:keepNext w:val="0"/>
              <w:keepLines w:val="0"/>
              <w:widowControl/>
              <w:suppressLineNumbers w:val="0"/>
              <w:ind w:firstLineChars="20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合计</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3BE58">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36套</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CC54">
            <w:pPr>
              <w:keepNext w:val="0"/>
              <w:keepLines w:val="0"/>
              <w:widowControl/>
              <w:suppressLineNumbers w:val="0"/>
              <w:ind w:firstLineChars="20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459E">
            <w:pPr>
              <w:keepNext w:val="0"/>
              <w:keepLines w:val="0"/>
              <w:widowControl/>
              <w:suppressLineNumbers w:val="0"/>
              <w:ind w:firstLine="0" w:firstLineChars="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4335㎡</w:t>
            </w:r>
          </w:p>
        </w:tc>
      </w:tr>
    </w:tbl>
    <w:p w14:paraId="521B1F5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hAnsi="Calibri" w:eastAsia="宋体" w:cs="宋体"/>
          <w:color w:val="auto"/>
          <w:kern w:val="2"/>
          <w:sz w:val="28"/>
          <w:szCs w:val="28"/>
          <w:highlight w:val="none"/>
          <w:lang w:val="en-US" w:eastAsia="zh-CN"/>
        </w:rPr>
      </w:pPr>
    </w:p>
    <w:p w14:paraId="25024F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付款方式：</w:t>
      </w:r>
    </w:p>
    <w:p w14:paraId="043166E8">
      <w:pPr>
        <w:keepNext w:val="0"/>
        <w:keepLines w:val="0"/>
        <w:pageBreakBefore w:val="0"/>
        <w:widowControl/>
        <w:kinsoku/>
        <w:wordWrap/>
        <w:overflowPunct/>
        <w:topLinePunct w:val="0"/>
        <w:autoSpaceDE/>
        <w:autoSpaceDN/>
        <w:bidi w:val="0"/>
        <w:adjustRightInd/>
        <w:snapToGrid/>
        <w:spacing w:after="100"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hAnsi="仿宋_GB2312" w:eastAsia="仿宋_GB2312" w:cs="仿宋_GB2312"/>
          <w:color w:val="auto"/>
          <w:kern w:val="2"/>
          <w:sz w:val="32"/>
          <w:szCs w:val="32"/>
          <w:highlight w:val="none"/>
          <w:lang w:val="en-US" w:eastAsia="zh-CN"/>
        </w:rPr>
        <w:t>（1）付款方式：</w:t>
      </w:r>
      <w:r>
        <w:rPr>
          <w:rFonts w:hint="eastAsia" w:ascii="仿宋_GB2312" w:hAnsi="仿宋_GB2312" w:eastAsia="仿宋_GB2312" w:cs="仿宋_GB2312"/>
          <w:color w:val="auto"/>
          <w:sz w:val="32"/>
          <w:szCs w:val="32"/>
          <w:highlight w:val="none"/>
        </w:rPr>
        <w:t>银行对公转账，由项目公司根据</w:t>
      </w:r>
      <w:r>
        <w:rPr>
          <w:rFonts w:hint="eastAsia" w:hAnsi="仿宋_GB2312" w:eastAsia="仿宋_GB2312" w:cs="仿宋_GB2312"/>
          <w:color w:val="auto"/>
          <w:sz w:val="32"/>
          <w:szCs w:val="32"/>
          <w:highlight w:val="none"/>
          <w:lang w:val="en-US" w:eastAsia="zh-CN"/>
        </w:rPr>
        <w:t>甲乙</w:t>
      </w:r>
      <w:r>
        <w:rPr>
          <w:rFonts w:hint="eastAsia" w:ascii="仿宋_GB2312" w:hAnsi="仿宋_GB2312" w:eastAsia="仿宋_GB2312" w:cs="仿宋_GB2312"/>
          <w:color w:val="auto"/>
          <w:sz w:val="32"/>
          <w:szCs w:val="32"/>
          <w:highlight w:val="none"/>
        </w:rPr>
        <w:t>双方认可的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hAnsi="仿宋_GB2312" w:eastAsia="仿宋_GB2312" w:cs="仿宋_GB2312"/>
          <w:color w:val="auto"/>
          <w:sz w:val="32"/>
          <w:szCs w:val="32"/>
          <w:highlight w:val="none"/>
          <w:lang w:val="en-US" w:eastAsia="zh-CN"/>
        </w:rPr>
        <w:t>及</w:t>
      </w:r>
      <w:r>
        <w:rPr>
          <w:rFonts w:hint="eastAsia" w:ascii="仿宋_GB2312" w:hAnsi="仿宋_GB2312" w:eastAsia="仿宋_GB2312" w:cs="仿宋_GB2312"/>
          <w:color w:val="auto"/>
          <w:sz w:val="32"/>
          <w:szCs w:val="32"/>
          <w:highlight w:val="none"/>
        </w:rPr>
        <w:t>验收</w:t>
      </w:r>
      <w:r>
        <w:rPr>
          <w:rFonts w:hint="eastAsia" w:hAnsi="仿宋_GB2312" w:eastAsia="仿宋_GB2312" w:cs="仿宋_GB2312"/>
          <w:color w:val="auto"/>
          <w:sz w:val="32"/>
          <w:szCs w:val="32"/>
          <w:highlight w:val="none"/>
          <w:lang w:val="en-US" w:eastAsia="zh-CN"/>
        </w:rPr>
        <w:t>材料</w:t>
      </w:r>
      <w:r>
        <w:rPr>
          <w:rFonts w:hint="eastAsia" w:ascii="仿宋_GB2312" w:hAnsi="仿宋_GB2312" w:eastAsia="仿宋_GB2312" w:cs="仿宋_GB2312"/>
          <w:color w:val="auto"/>
          <w:sz w:val="32"/>
          <w:szCs w:val="32"/>
          <w:highlight w:val="none"/>
          <w:lang w:val="en-US" w:eastAsia="zh-CN"/>
        </w:rPr>
        <w:t>在结</w:t>
      </w:r>
      <w:r>
        <w:rPr>
          <w:rFonts w:hint="eastAsia" w:ascii="仿宋_GB2312" w:hAnsi="仿宋_GB2312" w:eastAsia="仿宋_GB2312" w:cs="仿宋_GB2312"/>
          <w:color w:val="auto"/>
          <w:sz w:val="32"/>
          <w:szCs w:val="32"/>
          <w:highlight w:val="none"/>
          <w:lang w:eastAsia="zh" w:bidi="ar"/>
        </w:rPr>
        <w:t>算金额确定后</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color w:val="auto"/>
          <w:sz w:val="32"/>
          <w:szCs w:val="32"/>
          <w:highlight w:val="none"/>
          <w:lang w:eastAsia="zh" w:bidi="ar"/>
        </w:rPr>
        <w:t>30</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color w:val="auto"/>
          <w:sz w:val="32"/>
          <w:szCs w:val="32"/>
          <w:highlight w:val="none"/>
          <w:lang w:eastAsia="zh" w:bidi="ar"/>
        </w:rPr>
        <w:t>个工作日内进行</w:t>
      </w:r>
      <w:r>
        <w:rPr>
          <w:rFonts w:hint="eastAsia" w:ascii="仿宋_GB2312" w:hAnsi="仿宋_GB2312" w:eastAsia="仿宋_GB2312" w:cs="仿宋_GB2312"/>
          <w:color w:val="auto"/>
          <w:sz w:val="32"/>
          <w:szCs w:val="32"/>
          <w:highlight w:val="none"/>
        </w:rPr>
        <w:t>一次性付清至乙方指定账户。</w:t>
      </w:r>
    </w:p>
    <w:p w14:paraId="729EE6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付款流程如下：</w:t>
      </w:r>
    </w:p>
    <w:p w14:paraId="5F1786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①</w:t>
      </w:r>
      <w:r>
        <w:rPr>
          <w:rFonts w:hint="eastAsia" w:ascii="仿宋_GB2312" w:hAnsi="仿宋_GB2312" w:eastAsia="仿宋_GB2312" w:cs="仿宋_GB2312"/>
          <w:color w:val="auto"/>
          <w:kern w:val="2"/>
          <w:sz w:val="32"/>
          <w:szCs w:val="32"/>
          <w:highlight w:val="none"/>
          <w:lang w:val="en-US" w:eastAsia="zh-CN"/>
        </w:rPr>
        <w:t>乙方根据甲方要求完成</w:t>
      </w:r>
      <w:r>
        <w:rPr>
          <w:rFonts w:hint="eastAsia" w:hAnsi="仿宋_GB2312" w:eastAsia="仿宋_GB2312" w:cs="仿宋_GB2312"/>
          <w:color w:val="auto"/>
          <w:kern w:val="2"/>
          <w:sz w:val="32"/>
          <w:szCs w:val="32"/>
          <w:highlight w:val="none"/>
          <w:lang w:val="en-US" w:eastAsia="zh-CN"/>
        </w:rPr>
        <w:t>未售商铺房源</w:t>
      </w:r>
      <w:r>
        <w:rPr>
          <w:rFonts w:hint="eastAsia" w:ascii="仿宋_GB2312" w:hAnsi="仿宋_GB2312" w:eastAsia="仿宋_GB2312" w:cs="仿宋_GB2312"/>
          <w:color w:val="auto"/>
          <w:kern w:val="2"/>
          <w:sz w:val="32"/>
          <w:szCs w:val="32"/>
          <w:highlight w:val="none"/>
          <w:lang w:val="en-US" w:eastAsia="zh-CN"/>
        </w:rPr>
        <w:t>清单对应的</w:t>
      </w:r>
      <w:r>
        <w:rPr>
          <w:rFonts w:hint="eastAsia" w:hAnsi="仿宋_GB2312" w:eastAsia="仿宋_GB2312" w:cs="仿宋_GB2312"/>
          <w:color w:val="auto"/>
          <w:kern w:val="2"/>
          <w:sz w:val="32"/>
          <w:szCs w:val="32"/>
          <w:highlight w:val="none"/>
          <w:lang w:val="en-US" w:eastAsia="zh"/>
        </w:rPr>
        <w:t>租金</w:t>
      </w:r>
      <w:r>
        <w:rPr>
          <w:rFonts w:hint="eastAsia" w:ascii="仿宋_GB2312" w:hAnsi="仿宋_GB2312" w:eastAsia="仿宋_GB2312" w:cs="仿宋_GB2312"/>
          <w:color w:val="auto"/>
          <w:kern w:val="2"/>
          <w:sz w:val="32"/>
          <w:szCs w:val="32"/>
          <w:highlight w:val="none"/>
          <w:lang w:val="en-US" w:eastAsia="zh-CN"/>
        </w:rPr>
        <w:t>评估报告并通过甲方或上级单位书面审核通过后10个工作日内，乙方向甲方提交结算申请，附经甲方审核通过的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报告、等额合法有效的增值税专用发票及其他甲方要求的付款申请材料（如有）；</w:t>
      </w:r>
    </w:p>
    <w:p w14:paraId="0907DD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②</w:t>
      </w:r>
      <w:r>
        <w:rPr>
          <w:rFonts w:hint="eastAsia" w:ascii="仿宋_GB2312" w:hAnsi="仿宋_GB2312" w:eastAsia="仿宋_GB2312" w:cs="仿宋_GB2312"/>
          <w:color w:val="auto"/>
          <w:kern w:val="2"/>
          <w:sz w:val="32"/>
          <w:szCs w:val="32"/>
          <w:highlight w:val="none"/>
          <w:lang w:val="en-US" w:eastAsia="zh-CN"/>
        </w:rPr>
        <w:t>甲方收到上述资料并审核无误后</w:t>
      </w:r>
      <w:r>
        <w:rPr>
          <w:rFonts w:hint="eastAsia" w:hAnsi="仿宋_GB2312" w:eastAsia="仿宋_GB2312" w:cs="仿宋_GB2312"/>
          <w:color w:val="auto"/>
          <w:kern w:val="2"/>
          <w:sz w:val="32"/>
          <w:szCs w:val="32"/>
          <w:highlight w:val="none"/>
          <w:lang w:val="en-US" w:eastAsia="zh-CN"/>
        </w:rPr>
        <w:t>办理相关付款流程，流程通过后20</w:t>
      </w:r>
      <w:r>
        <w:rPr>
          <w:rFonts w:hint="eastAsia" w:ascii="仿宋_GB2312" w:hAnsi="仿宋_GB2312" w:eastAsia="仿宋_GB2312" w:cs="仿宋_GB2312"/>
          <w:color w:val="auto"/>
          <w:kern w:val="2"/>
          <w:sz w:val="32"/>
          <w:szCs w:val="32"/>
          <w:highlight w:val="none"/>
          <w:lang w:val="en-US" w:eastAsia="zh-CN"/>
        </w:rPr>
        <w:t>个工作日内，项目公司向乙方支付该</w:t>
      </w:r>
      <w:r>
        <w:rPr>
          <w:rFonts w:hint="eastAsia" w:hAnsi="仿宋_GB2312" w:eastAsia="仿宋_GB2312" w:cs="仿宋_GB2312"/>
          <w:color w:val="auto"/>
          <w:kern w:val="2"/>
          <w:sz w:val="32"/>
          <w:szCs w:val="32"/>
          <w:highlight w:val="none"/>
          <w:lang w:val="en-US" w:eastAsia="zh-CN"/>
        </w:rPr>
        <w:t>评估报告</w:t>
      </w:r>
      <w:r>
        <w:rPr>
          <w:rFonts w:hint="eastAsia" w:ascii="仿宋_GB2312" w:hAnsi="仿宋_GB2312" w:eastAsia="仿宋_GB2312" w:cs="仿宋_GB2312"/>
          <w:color w:val="auto"/>
          <w:kern w:val="2"/>
          <w:sz w:val="32"/>
          <w:szCs w:val="32"/>
          <w:highlight w:val="none"/>
          <w:lang w:val="en-US" w:eastAsia="zh-CN"/>
        </w:rPr>
        <w:t>对应费用的100%；</w:t>
      </w:r>
    </w:p>
    <w:p w14:paraId="5F1A9C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③</w:t>
      </w:r>
      <w:r>
        <w:rPr>
          <w:rFonts w:hint="eastAsia" w:ascii="仿宋_GB2312" w:hAnsi="仿宋_GB2312" w:eastAsia="仿宋_GB2312" w:cs="仿宋_GB2312"/>
          <w:color w:val="auto"/>
          <w:kern w:val="2"/>
          <w:sz w:val="32"/>
          <w:szCs w:val="32"/>
          <w:highlight w:val="none"/>
          <w:lang w:val="en-US" w:eastAsia="zh-CN"/>
        </w:rPr>
        <w:t>因政府、相关部门（如有）必要的审批程序等非委托方原因造成的支付逾期，乙方不得计取任何利息、滞纳金，也不视同项目公司违约而需支付违约金，乙方不得以此为由拒不履行或拖延履行本合同义务。</w:t>
      </w:r>
    </w:p>
    <w:p w14:paraId="3332C8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Ansi="仿宋_GB2312" w:eastAsia="仿宋_GB2312" w:cs="仿宋_GB2312"/>
          <w:color w:val="auto"/>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④甲方应在收到评估报告后10个工作日内书面提出具体修改意见，逾期未提出的，视为甲方对该版本报告内容无进一步修改意见，但不影响甲方在最终验收时依据本合同第二条、第九条约定，对报告最终成果提出异议或要求乙方继续修改的权利。</w:t>
      </w:r>
      <w:r>
        <w:rPr>
          <w:rFonts w:hint="eastAsia" w:ascii="仿宋_GB2312" w:hAnsi="仿宋_GB2312" w:eastAsia="仿宋_GB2312" w:cs="仿宋_GB2312"/>
          <w:color w:val="auto"/>
          <w:kern w:val="2"/>
          <w:sz w:val="32"/>
          <w:szCs w:val="32"/>
          <w:highlight w:val="none"/>
          <w:lang w:val="en-US" w:eastAsia="zh-CN"/>
        </w:rPr>
        <w:t>若因乙方报告存在客观错误或不符合约定标准导致未通过审核，乙方应免费修正；修正后仍不符合的，项目公司有权拒付对应费用。乙方仅在报告经甲方书面确认通过且项目公司已据此实际支付相应费用的范围内，方可主张付款请求权。甲方对评估报告的审核意见及是否通过审核享有最终决定权，乙方不得以甲方未通过审核为由要求甲方或项目公司支付任何违约金或其他费用。</w:t>
      </w:r>
    </w:p>
    <w:p w14:paraId="60BD49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⑤</w:t>
      </w:r>
      <w:permStart w:id="28" w:edGrp="everyone"/>
      <w:r>
        <w:rPr>
          <w:rFonts w:hint="eastAsia" w:ascii="仿宋_GB2312" w:hAnsi="仿宋_GB2312" w:eastAsia="仿宋_GB2312" w:cs="仿宋_GB2312"/>
          <w:color w:val="auto"/>
          <w:kern w:val="2"/>
          <w:sz w:val="32"/>
          <w:szCs w:val="32"/>
          <w:highlight w:val="none"/>
        </w:rPr>
        <w:t>若未出现本合同明示的可调因素，则结算时</w:t>
      </w:r>
      <w:r>
        <w:rPr>
          <w:rFonts w:hint="eastAsia" w:hAnsi="仿宋_GB2312" w:eastAsia="仿宋_GB2312" w:cs="仿宋_GB2312"/>
          <w:color w:val="auto"/>
          <w:kern w:val="2"/>
          <w:sz w:val="32"/>
          <w:szCs w:val="32"/>
          <w:highlight w:val="none"/>
          <w:lang w:val="en-US" w:eastAsia="zh-CN"/>
        </w:rPr>
        <w:t>综合总价</w:t>
      </w:r>
      <w:r>
        <w:rPr>
          <w:rFonts w:hint="eastAsia" w:ascii="仿宋_GB2312" w:hAnsi="仿宋_GB2312" w:eastAsia="仿宋_GB2312" w:cs="仿宋_GB2312"/>
          <w:color w:val="auto"/>
          <w:kern w:val="2"/>
          <w:sz w:val="32"/>
          <w:szCs w:val="32"/>
          <w:highlight w:val="none"/>
        </w:rPr>
        <w:t>不作调整。</w:t>
      </w:r>
    </w:p>
    <w:permEnd w:id="28"/>
    <w:p w14:paraId="379E57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rPr>
      </w:pPr>
      <w:r>
        <w:rPr>
          <w:rFonts w:hint="eastAsia" w:hAnsi="仿宋_GB2312" w:eastAsia="仿宋_GB2312" w:cs="仿宋_GB2312"/>
          <w:color w:val="auto"/>
          <w:kern w:val="2"/>
          <w:sz w:val="32"/>
          <w:szCs w:val="32"/>
          <w:highlight w:val="none"/>
          <w:lang w:val="en-US" w:eastAsia="zh-CN"/>
        </w:rPr>
        <w:t>6.</w:t>
      </w:r>
      <w:r>
        <w:rPr>
          <w:rFonts w:hint="eastAsia" w:ascii="仿宋_GB2312" w:hAnsi="仿宋_GB2312" w:eastAsia="仿宋_GB2312" w:cs="仿宋_GB2312"/>
          <w:color w:val="auto"/>
          <w:kern w:val="2"/>
          <w:sz w:val="32"/>
          <w:szCs w:val="32"/>
          <w:highlight w:val="none"/>
        </w:rPr>
        <w:t>其他约定</w:t>
      </w:r>
      <w:r>
        <w:rPr>
          <w:rFonts w:hint="eastAsia" w:hAnsi="仿宋_GB2312" w:eastAsia="仿宋_GB2312" w:cs="仿宋_GB2312"/>
          <w:color w:val="auto"/>
          <w:kern w:val="2"/>
          <w:sz w:val="32"/>
          <w:szCs w:val="32"/>
          <w:highlight w:val="none"/>
          <w:lang w:eastAsia="zh-CN"/>
        </w:rPr>
        <w:t>：</w:t>
      </w:r>
      <w:permStart w:id="29" w:edGrp="everyone"/>
      <w:r>
        <w:rPr>
          <w:rFonts w:hint="eastAsia" w:hAnsi="仿宋_GB2312" w:eastAsia="仿宋_GB2312" w:cs="仿宋_GB2312"/>
          <w:color w:val="auto"/>
          <w:kern w:val="2"/>
          <w:sz w:val="32"/>
          <w:szCs w:val="32"/>
          <w:highlight w:val="none"/>
          <w:lang w:val="en-US" w:eastAsia="zh-CN"/>
        </w:rPr>
        <w:t>/</w:t>
      </w:r>
    </w:p>
    <w:permEnd w:id="29"/>
    <w:p w14:paraId="444B37CB">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黑体" w:hAnsi="黑体" w:eastAsia="黑体" w:cs="黑体"/>
          <w:color w:val="auto"/>
          <w:sz w:val="32"/>
          <w:szCs w:val="32"/>
          <w:highlight w:val="none"/>
        </w:rPr>
      </w:pPr>
      <w:r>
        <w:rPr>
          <w:rFonts w:hint="eastAsia" w:hAnsi="仿宋_GB2312" w:eastAsia="仿宋_GB2312" w:cs="仿宋_GB2312"/>
          <w:color w:val="auto"/>
          <w:kern w:val="2"/>
          <w:sz w:val="32"/>
          <w:szCs w:val="32"/>
          <w:highlight w:val="none"/>
          <w:lang w:val="en-US" w:eastAsia="zh-CN"/>
        </w:rPr>
        <w:t>7</w:t>
      </w:r>
      <w:r>
        <w:rPr>
          <w:rFonts w:hint="eastAsia" w:ascii="仿宋_GB2312" w:hAnsi="仿宋_GB2312" w:eastAsia="仿宋_GB2312"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rPr>
        <w:t>开票信息及账户</w:t>
      </w:r>
    </w:p>
    <w:p w14:paraId="7045350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1</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指定收款账户信息：</w:t>
      </w:r>
    </w:p>
    <w:p w14:paraId="783EE72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eastAsia="zh-CN"/>
        </w:rPr>
      </w:pPr>
      <w:r>
        <w:rPr>
          <w:rFonts w:hint="eastAsia" w:ascii="仿宋_GB2312" w:hAnsi="仿宋_GB2312" w:eastAsia="仿宋_GB2312" w:cs="仿宋_GB2312"/>
          <w:color w:val="auto"/>
          <w:kern w:val="2"/>
          <w:sz w:val="32"/>
          <w:szCs w:val="32"/>
          <w:highlight w:val="none"/>
        </w:rPr>
        <w:t>开户银行：</w:t>
      </w:r>
      <w:permStart w:id="30" w:edGrp="everyone"/>
    </w:p>
    <w:permEnd w:id="30"/>
    <w:p w14:paraId="3EF5647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eastAsia="zh-CN"/>
        </w:rPr>
      </w:pPr>
      <w:r>
        <w:rPr>
          <w:rFonts w:hint="eastAsia" w:ascii="仿宋_GB2312" w:hAnsi="仿宋_GB2312" w:eastAsia="仿宋_GB2312" w:cs="仿宋_GB2312"/>
          <w:color w:val="auto"/>
          <w:kern w:val="2"/>
          <w:sz w:val="32"/>
          <w:szCs w:val="32"/>
          <w:highlight w:val="none"/>
        </w:rPr>
        <w:t>户名：</w:t>
      </w:r>
      <w:permStart w:id="31" w:edGrp="everyone"/>
    </w:p>
    <w:permEnd w:id="31"/>
    <w:p w14:paraId="4346794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eastAsia="zh-CN"/>
        </w:rPr>
      </w:pPr>
      <w:r>
        <w:rPr>
          <w:rFonts w:hint="eastAsia" w:ascii="仿宋_GB2312" w:hAnsi="仿宋_GB2312" w:eastAsia="仿宋_GB2312" w:cs="仿宋_GB2312"/>
          <w:color w:val="auto"/>
          <w:kern w:val="2"/>
          <w:sz w:val="32"/>
          <w:szCs w:val="32"/>
          <w:highlight w:val="none"/>
        </w:rPr>
        <w:t>地址：</w:t>
      </w:r>
      <w:permStart w:id="32" w:edGrp="everyone"/>
    </w:p>
    <w:permEnd w:id="32"/>
    <w:p w14:paraId="2CB0E62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eastAsia="zh-CN"/>
        </w:rPr>
      </w:pPr>
      <w:r>
        <w:rPr>
          <w:rFonts w:hint="eastAsia" w:ascii="仿宋_GB2312" w:hAnsi="仿宋_GB2312" w:eastAsia="仿宋_GB2312" w:cs="仿宋_GB2312"/>
          <w:color w:val="auto"/>
          <w:kern w:val="2"/>
          <w:sz w:val="32"/>
          <w:szCs w:val="32"/>
          <w:highlight w:val="none"/>
        </w:rPr>
        <w:t>账号：</w:t>
      </w:r>
      <w:permStart w:id="33" w:edGrp="everyone"/>
    </w:p>
    <w:permEnd w:id="33"/>
    <w:p w14:paraId="24C0E6A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（2）</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rPr>
        <w:t>指定开票信息：</w:t>
      </w:r>
    </w:p>
    <w:p w14:paraId="2D3BBC5D">
      <w:pPr>
        <w:keepNext w:val="0"/>
        <w:keepLines w:val="0"/>
        <w:pageBreakBefore w:val="0"/>
        <w:widowControl/>
        <w:kinsoku/>
        <w:wordWrap/>
        <w:overflowPunct/>
        <w:topLinePunct w:val="0"/>
        <w:autoSpaceDE/>
        <w:autoSpaceDN/>
        <w:bidi w:val="0"/>
        <w:adjustRightInd/>
        <w:snapToGrid/>
        <w:spacing w:before="100" w:line="560" w:lineRule="exact"/>
        <w:ind w:left="0" w:leftChars="0" w:firstLine="643"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项目名称：江东·梧桐里</w:t>
      </w:r>
    </w:p>
    <w:p w14:paraId="6898B46A">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公司名称：</w:t>
      </w:r>
      <w:r>
        <w:rPr>
          <w:rFonts w:hint="eastAsia" w:ascii="仿宋_GB2312" w:hAnsi="仿宋_GB2312" w:eastAsia="仿宋_GB2312" w:cs="仿宋_GB2312"/>
          <w:color w:val="auto"/>
          <w:sz w:val="32"/>
          <w:szCs w:val="32"/>
          <w:highlight w:val="none"/>
          <w:u w:val="single"/>
        </w:rPr>
        <w:t>海口市恒睿安居置业有限公司</w:t>
      </w:r>
    </w:p>
    <w:p w14:paraId="15B63724">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纳税人识别号：</w:t>
      </w:r>
      <w:r>
        <w:rPr>
          <w:rFonts w:hint="eastAsia" w:ascii="仿宋_GB2312" w:hAnsi="仿宋_GB2312" w:eastAsia="仿宋_GB2312" w:cs="仿宋_GB2312"/>
          <w:color w:val="auto"/>
          <w:sz w:val="32"/>
          <w:szCs w:val="32"/>
          <w:highlight w:val="none"/>
          <w:u w:val="single"/>
        </w:rPr>
        <w:t>91460000MAC4MEAT1D</w:t>
      </w:r>
    </w:p>
    <w:p w14:paraId="56D1EA6F">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海南省海口市江东新区江东大道202号江东发展大厦C座2层</w:t>
      </w:r>
    </w:p>
    <w:p w14:paraId="0CF54474">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0898-36323320</w:t>
      </w:r>
    </w:p>
    <w:p w14:paraId="11236B87">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开户行：</w:t>
      </w:r>
      <w:r>
        <w:rPr>
          <w:rFonts w:hint="eastAsia" w:ascii="仿宋_GB2312" w:hAnsi="仿宋_GB2312" w:eastAsia="仿宋_GB2312" w:cs="仿宋_GB2312"/>
          <w:color w:val="auto"/>
          <w:sz w:val="32"/>
          <w:szCs w:val="32"/>
          <w:highlight w:val="none"/>
          <w:u w:val="single"/>
        </w:rPr>
        <w:t>中国工商银行股份有限公司海口江东支行</w:t>
      </w:r>
    </w:p>
    <w:p w14:paraId="0FDCD61F">
      <w:pPr>
        <w:pStyle w:val="31"/>
        <w:keepNext w:val="0"/>
        <w:keepLines w:val="0"/>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银行账号：</w:t>
      </w:r>
      <w:r>
        <w:rPr>
          <w:rFonts w:hint="eastAsia" w:ascii="仿宋_GB2312" w:hAnsi="仿宋_GB2312" w:eastAsia="仿宋_GB2312" w:cs="仿宋_GB2312"/>
          <w:color w:val="auto"/>
          <w:sz w:val="32"/>
          <w:szCs w:val="32"/>
          <w:highlight w:val="none"/>
          <w:u w:val="single"/>
        </w:rPr>
        <w:t>2201027509200655221</w:t>
      </w:r>
    </w:p>
    <w:p w14:paraId="389C27DF">
      <w:pPr>
        <w:keepNext w:val="0"/>
        <w:keepLines w:val="0"/>
        <w:pageBreakBefore w:val="0"/>
        <w:widowControl/>
        <w:kinsoku/>
        <w:wordWrap/>
        <w:overflowPunct/>
        <w:topLinePunct w:val="0"/>
        <w:autoSpaceDE/>
        <w:autoSpaceDN/>
        <w:bidi w:val="0"/>
        <w:adjustRightInd/>
        <w:snapToGrid/>
        <w:spacing w:before="100" w:line="560" w:lineRule="exact"/>
        <w:ind w:firstLine="643" w:firstLineChars="200"/>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项目名称：江东·悦海</w:t>
      </w:r>
    </w:p>
    <w:p w14:paraId="4C5DBFAF">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公司名称：海口江东新区城市投资有限公司</w:t>
      </w:r>
    </w:p>
    <w:p w14:paraId="1D32FD06">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纳税人识别号：91460100MA5TPGK18W</w:t>
      </w:r>
    </w:p>
    <w:p w14:paraId="70EE0B9B">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地址：海南省海口市江东新区江东大道202号江东大厦B</w:t>
      </w:r>
    </w:p>
    <w:p w14:paraId="5424CAB1">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座4层</w:t>
      </w:r>
    </w:p>
    <w:p w14:paraId="5A27A132">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电话：0898-36323320</w:t>
      </w:r>
    </w:p>
    <w:p w14:paraId="573FF484">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开户行：海南农村商业银行股份有限公司海口东海岸支行</w:t>
      </w:r>
    </w:p>
    <w:p w14:paraId="5A1AF873">
      <w:pPr>
        <w:pStyle w:val="31"/>
        <w:keepNext w:val="0"/>
        <w:keepLines w:val="0"/>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sz w:val="32"/>
          <w:szCs w:val="32"/>
          <w:highlight w:val="none"/>
        </w:rPr>
        <w:t>银行账号：1014658656611111</w:t>
      </w:r>
    </w:p>
    <w:p w14:paraId="749BBBDC">
      <w:pPr>
        <w:keepNext w:val="0"/>
        <w:keepLines w:val="0"/>
        <w:pageBreakBefore w:val="0"/>
        <w:widowControl/>
        <w:kinsoku/>
        <w:wordWrap/>
        <w:overflowPunct/>
        <w:topLinePunct w:val="0"/>
        <w:autoSpaceDE/>
        <w:autoSpaceDN/>
        <w:bidi w:val="0"/>
        <w:adjustRightInd/>
        <w:snapToGrid/>
        <w:spacing w:before="100" w:line="560" w:lineRule="exact"/>
        <w:ind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rPr>
        <w:t>项目名称：</w:t>
      </w:r>
      <w:r>
        <w:rPr>
          <w:rFonts w:hint="eastAsia" w:hAnsi="仿宋_GB2312" w:eastAsia="仿宋_GB2312" w:cs="仿宋_GB2312"/>
          <w:b/>
          <w:bCs/>
          <w:color w:val="auto"/>
          <w:sz w:val="32"/>
          <w:szCs w:val="32"/>
          <w:highlight w:val="none"/>
          <w:lang w:val="en-US" w:eastAsia="zh-CN"/>
        </w:rPr>
        <w:t>青春东岸</w:t>
      </w:r>
    </w:p>
    <w:p w14:paraId="0EF14D29">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公司名称：海南省桂林洋房地产开发总公司</w:t>
      </w:r>
    </w:p>
    <w:p w14:paraId="5F165355">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纳税人识别号：9146000020125228XU</w:t>
      </w:r>
    </w:p>
    <w:p w14:paraId="23553329">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地址：海南省海口市桂林洋开发区兴洋大道93号</w:t>
      </w:r>
    </w:p>
    <w:p w14:paraId="6B2FD050">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电话：65710086</w:t>
      </w:r>
    </w:p>
    <w:p w14:paraId="07C7E86D">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hint="eastAsia" w:hAnsi="仿宋_GB2312" w:eastAsia="仿宋_GB2312" w:cs="仿宋_GB2312"/>
          <w:color w:val="auto"/>
          <w:sz w:val="32"/>
          <w:szCs w:val="32"/>
          <w:highlight w:val="none"/>
          <w:lang w:val="en-US" w:eastAsia="zh-CN"/>
        </w:rPr>
      </w:pPr>
      <w:r>
        <w:rPr>
          <w:rFonts w:hint="eastAsia" w:hAnsi="仿宋_GB2312" w:eastAsia="仿宋_GB2312" w:cs="仿宋_GB2312"/>
          <w:color w:val="auto"/>
          <w:sz w:val="32"/>
          <w:szCs w:val="32"/>
          <w:highlight w:val="none"/>
          <w:lang w:val="en-US" w:eastAsia="zh-CN"/>
        </w:rPr>
        <w:t>开户行：农行海口桂林洋支行</w:t>
      </w:r>
    </w:p>
    <w:p w14:paraId="57D8CAFB">
      <w:pPr>
        <w:keepNext w:val="0"/>
        <w:keepLines w:val="0"/>
        <w:pageBreakBefore w:val="0"/>
        <w:kinsoku/>
        <w:wordWrap/>
        <w:overflowPunct/>
        <w:topLinePunct w:val="0"/>
        <w:autoSpaceDE/>
        <w:autoSpaceDN/>
        <w:bidi w:val="0"/>
        <w:adjustRightInd/>
        <w:snapToGrid/>
        <w:spacing w:before="100" w:line="560" w:lineRule="exact"/>
        <w:ind w:firstLine="640" w:firstLineChars="200"/>
        <w:textAlignment w:val="auto"/>
        <w:rPr>
          <w:rFonts w:hint="eastAsia" w:hAnsi="仿宋_GB2312" w:eastAsia="仿宋_GB2312" w:cs="仿宋_GB2312"/>
          <w:color w:val="auto"/>
          <w:sz w:val="32"/>
          <w:szCs w:val="32"/>
          <w:highlight w:val="none"/>
          <w:lang w:val="en-US" w:eastAsia="zh-CN"/>
        </w:rPr>
      </w:pPr>
      <w:r>
        <w:rPr>
          <w:rFonts w:hint="eastAsia" w:hAnsi="仿宋_GB2312" w:eastAsia="仿宋_GB2312" w:cs="仿宋_GB2312"/>
          <w:color w:val="auto"/>
          <w:sz w:val="32"/>
          <w:szCs w:val="32"/>
          <w:highlight w:val="none"/>
          <w:lang w:val="en-US" w:eastAsia="zh-CN"/>
        </w:rPr>
        <w:t>银行账号：21293001040000782</w:t>
      </w:r>
    </w:p>
    <w:p w14:paraId="4BCDFF9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（3）</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rPr>
        <w:t>支付每一笔款项前，</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应开具合法有效的增值税专用发票，否则</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rPr>
        <w:t>有权延期付款</w:t>
      </w:r>
      <w:r>
        <w:rPr>
          <w:rFonts w:hint="eastAsia" w:ascii="仿宋_GB2312" w:hAnsi="仿宋_GB2312" w:eastAsia="仿宋_GB2312" w:cs="仿宋_GB2312"/>
          <w:color w:val="auto"/>
          <w:kern w:val="2"/>
          <w:sz w:val="32"/>
          <w:szCs w:val="32"/>
          <w:highlight w:val="none"/>
          <w:lang w:val="en-US" w:eastAsia="zh-CN"/>
        </w:rPr>
        <w:t>并不视同项目公司违约而需支付违约金</w:t>
      </w:r>
      <w:r>
        <w:rPr>
          <w:rFonts w:hint="eastAsia" w:ascii="仿宋_GB2312" w:hAnsi="仿宋_GB2312" w:eastAsia="仿宋_GB2312" w:cs="仿宋_GB2312"/>
          <w:color w:val="auto"/>
          <w:kern w:val="2"/>
          <w:sz w:val="32"/>
          <w:szCs w:val="32"/>
          <w:highlight w:val="none"/>
        </w:rPr>
        <w:t>，由此造成的损失由</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承担</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且乙方不得以此为由拒不履行或拖延履行本合同义务</w:t>
      </w:r>
      <w:r>
        <w:rPr>
          <w:rFonts w:hint="eastAsia" w:ascii="仿宋_GB2312" w:hAnsi="仿宋_GB2312" w:eastAsia="仿宋_GB2312" w:cs="仿宋_GB2312"/>
          <w:color w:val="auto"/>
          <w:kern w:val="2"/>
          <w:sz w:val="32"/>
          <w:szCs w:val="32"/>
          <w:highlight w:val="none"/>
        </w:rPr>
        <w:t>。</w:t>
      </w:r>
    </w:p>
    <w:p w14:paraId="0BD194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（4）</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rPr>
        <w:t>有权在应付</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费用中扣除</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应承担的违约金及赔偿款，不足部分</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rPr>
        <w:t>有权继续追偿。</w:t>
      </w:r>
    </w:p>
    <w:p w14:paraId="5D6B4D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eastAsia="zh-CN"/>
        </w:rPr>
      </w:pPr>
      <w:r>
        <w:rPr>
          <w:rFonts w:hint="eastAsia" w:hAnsi="仿宋_GB2312" w:eastAsia="仿宋_GB2312" w:cs="仿宋_GB2312"/>
          <w:color w:val="auto"/>
          <w:kern w:val="2"/>
          <w:sz w:val="32"/>
          <w:szCs w:val="32"/>
          <w:highlight w:val="none"/>
          <w:lang w:eastAsia="zh-CN"/>
        </w:rPr>
        <w:t>（</w:t>
      </w:r>
      <w:r>
        <w:rPr>
          <w:rFonts w:hint="eastAsia" w:hAnsi="仿宋_GB2312" w:eastAsia="仿宋_GB2312" w:cs="仿宋_GB2312"/>
          <w:color w:val="auto"/>
          <w:kern w:val="2"/>
          <w:sz w:val="32"/>
          <w:szCs w:val="32"/>
          <w:highlight w:val="none"/>
          <w:lang w:val="en-US" w:eastAsia="zh-CN"/>
        </w:rPr>
        <w:t>5</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sz w:val="32"/>
          <w:szCs w:val="32"/>
          <w:highlight w:val="none"/>
        </w:rPr>
        <w:t>乙方应确保所提供的账户信息准确无误，如因乙方提供账户信息有误导致项目公司不能付款或迟延付款的，因此产生的一切责任由乙方承担。如乙方指定账户发生变更的，需提前3个工作日书面（加盖公章）通知甲方，否则视同未变更。</w:t>
      </w:r>
    </w:p>
    <w:p w14:paraId="5F22007F">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四、项目</w:t>
      </w:r>
      <w:r>
        <w:rPr>
          <w:rFonts w:hint="eastAsia" w:ascii="黑体" w:hAnsi="黑体" w:eastAsia="黑体" w:cs="黑体"/>
          <w:b w:val="0"/>
          <w:bCs w:val="0"/>
          <w:color w:val="auto"/>
          <w:kern w:val="2"/>
          <w:sz w:val="32"/>
          <w:szCs w:val="32"/>
          <w:highlight w:val="none"/>
        </w:rPr>
        <w:t>评估报告的使用者及使用范围</w:t>
      </w:r>
    </w:p>
    <w:p w14:paraId="5F3BEC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rPr>
        <w:t>本</w:t>
      </w:r>
      <w:r>
        <w:rPr>
          <w:rFonts w:hint="eastAsia" w:hAnsi="仿宋_GB2312" w:eastAsia="仿宋_GB2312" w:cs="仿宋_GB2312"/>
          <w:color w:val="auto"/>
          <w:kern w:val="2"/>
          <w:sz w:val="32"/>
          <w:szCs w:val="32"/>
          <w:highlight w:val="none"/>
          <w:lang w:val="en-US" w:eastAsia="zh-CN"/>
        </w:rPr>
        <w:t>项目</w:t>
      </w:r>
      <w:r>
        <w:rPr>
          <w:rFonts w:hint="eastAsia" w:ascii="仿宋_GB2312" w:hAnsi="仿宋_GB2312" w:eastAsia="仿宋_GB2312" w:cs="仿宋_GB2312"/>
          <w:color w:val="auto"/>
          <w:kern w:val="2"/>
          <w:sz w:val="32"/>
          <w:szCs w:val="32"/>
          <w:highlight w:val="none"/>
        </w:rPr>
        <w:t>评估报告仅供</w:t>
      </w: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和法律、行政法规规定的评估报告使用者使用，其他任何机构和个人不能成为</w:t>
      </w:r>
      <w:r>
        <w:rPr>
          <w:rFonts w:hint="eastAsia" w:ascii="仿宋_GB2312" w:hAnsi="仿宋_GB2312" w:eastAsia="仿宋_GB2312" w:cs="仿宋_GB2312"/>
          <w:color w:val="auto"/>
          <w:kern w:val="2"/>
          <w:sz w:val="32"/>
          <w:szCs w:val="32"/>
          <w:highlight w:val="none"/>
          <w:lang w:val="en-US" w:eastAsia="zh-CN"/>
        </w:rPr>
        <w:t>房地产</w:t>
      </w:r>
      <w:r>
        <w:rPr>
          <w:rFonts w:hint="eastAsia" w:ascii="仿宋_GB2312" w:hAnsi="仿宋_GB2312" w:eastAsia="仿宋_GB2312" w:cs="仿宋_GB2312"/>
          <w:color w:val="auto"/>
          <w:kern w:val="2"/>
          <w:sz w:val="32"/>
          <w:szCs w:val="32"/>
          <w:highlight w:val="none"/>
        </w:rPr>
        <w:t>评估报告的使用人。</w:t>
      </w:r>
    </w:p>
    <w:p w14:paraId="2616C6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u w:val="single"/>
        </w:rPr>
        <w:t>《</w:t>
      </w:r>
      <w:r>
        <w:rPr>
          <w:rFonts w:hint="eastAsia" w:ascii="仿宋_GB2312" w:hAnsi="仿宋_GB2312" w:eastAsia="仿宋_GB2312" w:cs="仿宋_GB2312"/>
          <w:color w:val="auto"/>
          <w:kern w:val="2"/>
          <w:sz w:val="32"/>
          <w:szCs w:val="32"/>
          <w:highlight w:val="none"/>
          <w:u w:val="single"/>
          <w:lang w:val="en-US" w:eastAsia="zh-CN"/>
        </w:rPr>
        <w:t>江东·梧桐里、江东·悦海、青春东岸项目未售商铺</w:t>
      </w:r>
      <w:r>
        <w:rPr>
          <w:rFonts w:hint="eastAsia" w:ascii="仿宋_GB2312" w:hAnsi="仿宋_GB2312" w:eastAsia="仿宋_GB2312" w:cs="仿宋_GB2312"/>
          <w:color w:val="auto"/>
          <w:sz w:val="32"/>
          <w:szCs w:val="32"/>
          <w:highlight w:val="none"/>
          <w:u w:val="single"/>
          <w:lang w:val="en-US" w:eastAsia="zh-CN"/>
        </w:rPr>
        <w:t>市场租金</w:t>
      </w:r>
      <w:r>
        <w:rPr>
          <w:rFonts w:hint="eastAsia" w:ascii="仿宋_GB2312" w:hAnsi="仿宋_GB2312" w:eastAsia="仿宋_GB2312" w:cs="仿宋_GB2312"/>
          <w:color w:val="auto"/>
          <w:kern w:val="2"/>
          <w:sz w:val="32"/>
          <w:szCs w:val="32"/>
          <w:highlight w:val="none"/>
          <w:u w:val="single"/>
          <w:lang w:val="en-US" w:eastAsia="zh-CN"/>
        </w:rPr>
        <w:t>评估报告</w:t>
      </w:r>
      <w:r>
        <w:rPr>
          <w:rFonts w:hint="eastAsia" w:ascii="仿宋_GB2312" w:hAnsi="仿宋_GB2312" w:eastAsia="仿宋_GB2312" w:cs="仿宋_GB2312"/>
          <w:color w:val="auto"/>
          <w:kern w:val="2"/>
          <w:sz w:val="32"/>
          <w:szCs w:val="32"/>
          <w:highlight w:val="none"/>
          <w:u w:val="single"/>
        </w:rPr>
        <w:t>》</w:t>
      </w:r>
      <w:r>
        <w:rPr>
          <w:rFonts w:hint="eastAsia" w:ascii="仿宋_GB2312" w:hAnsi="仿宋_GB2312" w:eastAsia="仿宋_GB2312" w:cs="仿宋_GB2312"/>
          <w:color w:val="auto"/>
          <w:kern w:val="2"/>
          <w:sz w:val="32"/>
          <w:szCs w:val="32"/>
          <w:highlight w:val="none"/>
        </w:rPr>
        <w:t>仅供上述使用者按照法律、行政法规规定和</w:t>
      </w:r>
      <w:r>
        <w:rPr>
          <w:rFonts w:hint="eastAsia" w:ascii="仿宋_GB2312" w:hAnsi="仿宋_GB2312" w:eastAsia="仿宋_GB2312" w:cs="仿宋_GB2312"/>
          <w:color w:val="auto"/>
          <w:kern w:val="2"/>
          <w:sz w:val="32"/>
          <w:szCs w:val="32"/>
          <w:highlight w:val="none"/>
          <w:lang w:val="en-US" w:eastAsia="zh-CN"/>
        </w:rPr>
        <w:t>房地产</w:t>
      </w:r>
      <w:r>
        <w:rPr>
          <w:rFonts w:hint="eastAsia" w:ascii="仿宋_GB2312" w:hAnsi="仿宋_GB2312" w:eastAsia="仿宋_GB2312" w:cs="仿宋_GB2312"/>
          <w:color w:val="auto"/>
          <w:kern w:val="2"/>
          <w:sz w:val="32"/>
          <w:szCs w:val="32"/>
          <w:highlight w:val="none"/>
        </w:rPr>
        <w:t>评估报告载明的使用目的及用途使用，</w:t>
      </w:r>
      <w:r>
        <w:rPr>
          <w:rFonts w:hint="eastAsia" w:ascii="仿宋_GB2312" w:hAnsi="仿宋_GB2312" w:eastAsia="仿宋_GB2312" w:cs="仿宋_GB2312"/>
          <w:color w:val="auto"/>
          <w:kern w:val="2"/>
          <w:sz w:val="32"/>
          <w:szCs w:val="32"/>
          <w:highlight w:val="none"/>
          <w:lang w:val="en-US" w:eastAsia="zh-CN"/>
        </w:rPr>
        <w:t>乙方</w:t>
      </w:r>
      <w:r>
        <w:rPr>
          <w:rFonts w:hint="eastAsia" w:ascii="仿宋_GB2312" w:hAnsi="仿宋_GB2312" w:eastAsia="仿宋_GB2312" w:cs="仿宋_GB2312"/>
          <w:color w:val="auto"/>
          <w:kern w:val="2"/>
          <w:sz w:val="32"/>
          <w:szCs w:val="32"/>
          <w:highlight w:val="none"/>
        </w:rPr>
        <w:t>对上述报告使用者不当使用所造成的后果不承担责任。</w:t>
      </w:r>
    </w:p>
    <w:p w14:paraId="71BCD4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3.甲方或者其他</w:t>
      </w:r>
      <w:r>
        <w:rPr>
          <w:rFonts w:hint="default" w:ascii="仿宋_GB2312" w:hAnsi="仿宋_GB2312" w:eastAsia="仿宋_GB2312" w:cs="仿宋_GB2312"/>
          <w:color w:val="auto"/>
          <w:kern w:val="2"/>
          <w:sz w:val="32"/>
          <w:szCs w:val="32"/>
          <w:highlight w:val="none"/>
          <w:lang w:val="en-US" w:eastAsia="zh-CN"/>
        </w:rPr>
        <w:t>依法有权使用房地产评估报告的主体应当在载明的评估结论使用有效期内使用房地产评估报告。乙方应确保在报告中以明确方式载明评估结论的使用有效期及适用条件，如因乙方未载明或载明不清导致评估结论被质疑或无法使用的，由乙方承担相应责任，并赔偿甲方因此遭受的全部损失。</w:t>
      </w:r>
    </w:p>
    <w:p w14:paraId="1BAFDC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rPr>
        <w:t>未经</w:t>
      </w: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书面许可，</w:t>
      </w:r>
      <w:r>
        <w:rPr>
          <w:rFonts w:hint="eastAsia" w:ascii="仿宋_GB2312" w:hAnsi="仿宋_GB2312" w:eastAsia="仿宋_GB2312" w:cs="仿宋_GB2312"/>
          <w:color w:val="auto"/>
          <w:kern w:val="2"/>
          <w:sz w:val="32"/>
          <w:szCs w:val="32"/>
          <w:highlight w:val="none"/>
          <w:lang w:val="en-US" w:eastAsia="zh-CN"/>
        </w:rPr>
        <w:t>乙方</w:t>
      </w:r>
      <w:r>
        <w:rPr>
          <w:rFonts w:hint="eastAsia" w:ascii="仿宋_GB2312" w:hAnsi="仿宋_GB2312" w:eastAsia="仿宋_GB2312" w:cs="仿宋_GB2312"/>
          <w:color w:val="auto"/>
          <w:kern w:val="2"/>
          <w:sz w:val="32"/>
          <w:szCs w:val="32"/>
          <w:highlight w:val="none"/>
        </w:rPr>
        <w:t>及其</w:t>
      </w:r>
      <w:r>
        <w:rPr>
          <w:rFonts w:hint="eastAsia" w:ascii="仿宋_GB2312" w:hAnsi="仿宋_GB2312" w:eastAsia="仿宋_GB2312" w:cs="仿宋_GB2312"/>
          <w:color w:val="auto"/>
          <w:kern w:val="2"/>
          <w:sz w:val="32"/>
          <w:szCs w:val="32"/>
          <w:highlight w:val="none"/>
          <w:lang w:val="en-US" w:eastAsia="zh-CN"/>
        </w:rPr>
        <w:t>乙方</w:t>
      </w:r>
      <w:r>
        <w:rPr>
          <w:rFonts w:hint="eastAsia" w:ascii="仿宋_GB2312" w:hAnsi="仿宋_GB2312" w:eastAsia="仿宋_GB2312" w:cs="仿宋_GB2312"/>
          <w:color w:val="auto"/>
          <w:kern w:val="2"/>
          <w:sz w:val="32"/>
          <w:szCs w:val="32"/>
          <w:highlight w:val="none"/>
        </w:rPr>
        <w:t>专业人员不得将</w:t>
      </w:r>
      <w:r>
        <w:rPr>
          <w:rFonts w:hint="eastAsia" w:ascii="仿宋_GB2312" w:hAnsi="仿宋_GB2312" w:eastAsia="仿宋_GB2312" w:cs="仿宋_GB2312"/>
          <w:color w:val="auto"/>
          <w:kern w:val="2"/>
          <w:sz w:val="32"/>
          <w:szCs w:val="32"/>
          <w:highlight w:val="none"/>
          <w:lang w:val="en-US" w:eastAsia="zh-CN"/>
        </w:rPr>
        <w:t>房地产</w:t>
      </w:r>
      <w:r>
        <w:rPr>
          <w:rFonts w:hint="eastAsia" w:ascii="仿宋_GB2312" w:hAnsi="仿宋_GB2312" w:eastAsia="仿宋_GB2312" w:cs="仿宋_GB2312"/>
          <w:color w:val="auto"/>
          <w:kern w:val="2"/>
          <w:sz w:val="32"/>
          <w:szCs w:val="32"/>
          <w:highlight w:val="none"/>
        </w:rPr>
        <w:t>评估报告的内容向第三方提供或者公开，法律、行政法规另有规定的除外。</w:t>
      </w:r>
    </w:p>
    <w:p w14:paraId="306A69D5">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5.</w:t>
      </w:r>
      <w:r>
        <w:rPr>
          <w:rFonts w:hint="default" w:ascii="仿宋_GB2312" w:hAnsi="仿宋_GB2312" w:eastAsia="仿宋_GB2312" w:cs="仿宋_GB2312"/>
          <w:color w:val="auto"/>
          <w:kern w:val="2"/>
          <w:sz w:val="32"/>
          <w:szCs w:val="32"/>
          <w:highlight w:val="none"/>
          <w:lang w:val="en-US" w:eastAsia="zh-CN"/>
        </w:rPr>
        <w:t>甲方有权在为实现本合同目的及与本项目相关的内部决策、报批报备、融资、备案、监管报送等合理范围内，使用、摘抄、引用或者披露房地产评估报告的内容，无需另行取得乙方同意。除前述情形外，未征得乙方同意，任何其他第三方不得将房地产评估报告的内容摘抄、引用或者披露于公开媒体，法律、行政法规规定的除外。</w:t>
      </w:r>
    </w:p>
    <w:p w14:paraId="612E668D">
      <w:pPr>
        <w:pStyle w:val="5"/>
        <w:rPr>
          <w:rFonts w:hint="default" w:ascii="仿宋_GB2312" w:hAnsi="仿宋_GB2312" w:eastAsia="仿宋_GB2312" w:cs="仿宋_GB2312"/>
          <w:b w:val="0"/>
          <w:bCs w:val="0"/>
          <w:color w:val="auto"/>
          <w:kern w:val="2"/>
          <w:sz w:val="32"/>
          <w:szCs w:val="32"/>
          <w:highlight w:val="none"/>
          <w:lang w:val="en-US"/>
        </w:rPr>
      </w:pPr>
      <w:r>
        <w:rPr>
          <w:rFonts w:hint="eastAsia" w:ascii="仿宋_GB2312" w:hAnsi="仿宋_GB2312" w:eastAsia="仿宋_GB2312" w:cs="仿宋_GB2312"/>
          <w:color w:val="auto"/>
          <w:kern w:val="2"/>
          <w:sz w:val="32"/>
          <w:szCs w:val="32"/>
          <w:highlight w:val="none"/>
          <w:lang w:val="en-US" w:eastAsia="zh-CN" w:bidi="ar-SA"/>
        </w:rPr>
        <w:t>6.如因乙方原因导致任何阶段性成果或最终成果提交延误，相应延误期间不计入合同总服务期，甲方有权要求顺延服务期并追究乙方违约责任；如因甲方书面确认的客观原因需要暂停或调整服务的，双方可书面约定顺延服务期，相应顺延不视为甲方违约。</w:t>
      </w:r>
    </w:p>
    <w:p w14:paraId="6342A3D0">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五、项目</w:t>
      </w:r>
      <w:r>
        <w:rPr>
          <w:rFonts w:hint="eastAsia" w:ascii="黑体" w:hAnsi="黑体" w:eastAsia="黑体" w:cs="黑体"/>
          <w:b w:val="0"/>
          <w:bCs w:val="0"/>
          <w:color w:val="auto"/>
          <w:kern w:val="2"/>
          <w:sz w:val="32"/>
          <w:szCs w:val="32"/>
          <w:highlight w:val="none"/>
        </w:rPr>
        <w:t>服务期限及进度要求</w:t>
      </w:r>
    </w:p>
    <w:p w14:paraId="30B587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Ansi="仿宋_GB2312" w:eastAsia="仿宋_GB2312" w:cs="仿宋_GB2312"/>
          <w:color w:val="auto"/>
          <w:kern w:val="2"/>
          <w:sz w:val="32"/>
          <w:szCs w:val="32"/>
          <w:highlight w:val="none"/>
          <w:lang w:eastAsia="zh"/>
        </w:rPr>
      </w:pPr>
      <w:r>
        <w:rPr>
          <w:rFonts w:hint="eastAsia"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rPr>
        <w:t>本合同</w:t>
      </w:r>
      <w:r>
        <w:rPr>
          <w:rFonts w:hint="eastAsia" w:hAnsi="仿宋_GB2312" w:eastAsia="仿宋_GB2312" w:cs="仿宋_GB2312"/>
          <w:color w:val="auto"/>
          <w:kern w:val="2"/>
          <w:sz w:val="32"/>
          <w:szCs w:val="32"/>
          <w:highlight w:val="none"/>
          <w:lang w:eastAsia="zh"/>
        </w:rPr>
        <w:t>总服务期为40个日历天，自实际确认基准日起算。</w:t>
      </w:r>
    </w:p>
    <w:p w14:paraId="26EDBA11">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eastAsia" w:hAnsi="仿宋_GB2312" w:eastAsia="仿宋_GB2312" w:cs="仿宋_GB2312"/>
          <w:color w:val="auto"/>
          <w:kern w:val="2"/>
          <w:sz w:val="32"/>
          <w:szCs w:val="32"/>
          <w:highlight w:val="none"/>
          <w:lang w:val="en-US" w:eastAsia="zh"/>
        </w:rPr>
      </w:pPr>
      <w:r>
        <w:rPr>
          <w:rFonts w:hint="eastAsia" w:hAnsi="仿宋_GB2312" w:eastAsia="仿宋_GB2312" w:cs="仿宋_GB2312"/>
          <w:color w:val="auto"/>
          <w:kern w:val="2"/>
          <w:sz w:val="32"/>
          <w:szCs w:val="32"/>
          <w:highlight w:val="none"/>
          <w:lang w:eastAsia="zh"/>
        </w:rPr>
        <w:t>2.</w:t>
      </w:r>
      <w:r>
        <w:rPr>
          <w:rFonts w:hint="default" w:ascii="仿宋_GB2312" w:hAnsi="Calibri" w:eastAsia="仿宋_GB2312" w:cs="仿宋_GB2312"/>
          <w:color w:val="auto"/>
          <w:kern w:val="2"/>
          <w:sz w:val="32"/>
          <w:szCs w:val="32"/>
          <w:highlight w:val="none"/>
          <w:lang w:val="en-US" w:eastAsia="zh-CN" w:bidi="ar"/>
        </w:rPr>
        <w:t>自评估基准日后10日历天内完成评估报告初稿，并交付给</w:t>
      </w:r>
      <w:r>
        <w:rPr>
          <w:rFonts w:hint="eastAsia" w:ascii="仿宋_GB2312" w:eastAsia="仿宋_GB2312" w:cs="仿宋_GB2312"/>
          <w:color w:val="auto"/>
          <w:kern w:val="2"/>
          <w:sz w:val="32"/>
          <w:szCs w:val="32"/>
          <w:highlight w:val="none"/>
          <w:lang w:val="en-US" w:eastAsia="zh" w:bidi="ar"/>
        </w:rPr>
        <w:t>甲方</w:t>
      </w:r>
      <w:r>
        <w:rPr>
          <w:rFonts w:hint="default" w:ascii="仿宋_GB2312" w:hAnsi="Calibri" w:eastAsia="仿宋_GB2312" w:cs="仿宋_GB2312"/>
          <w:color w:val="auto"/>
          <w:kern w:val="2"/>
          <w:sz w:val="32"/>
          <w:szCs w:val="32"/>
          <w:highlight w:val="none"/>
          <w:lang w:val="en-US" w:eastAsia="zh-CN" w:bidi="ar"/>
        </w:rPr>
        <w:t>。</w:t>
      </w:r>
    </w:p>
    <w:p w14:paraId="380A0A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3.甲方应在收到评估报告初稿后7个工作日内，向乙方提出书面的修改意见或审核意见。若甲方逾期未提出书面意见，则视为甲方对当期评估</w:t>
      </w:r>
      <w:r>
        <w:rPr>
          <w:rFonts w:hint="eastAsia" w:ascii="仿宋_GB2312" w:hAnsi="仿宋_GB2312" w:eastAsia="仿宋_GB2312" w:cs="仿宋_GB2312"/>
          <w:color w:val="auto"/>
          <w:kern w:val="2"/>
          <w:sz w:val="32"/>
          <w:szCs w:val="32"/>
          <w:highlight w:val="none"/>
          <w:lang w:val="en-US" w:eastAsia="zh-CN"/>
        </w:rPr>
        <w:t>报告</w:t>
      </w:r>
      <w:r>
        <w:rPr>
          <w:rFonts w:hint="eastAsia" w:hAnsi="仿宋_GB2312" w:eastAsia="仿宋_GB2312" w:cs="仿宋_GB2312"/>
          <w:color w:val="auto"/>
          <w:kern w:val="2"/>
          <w:sz w:val="32"/>
          <w:szCs w:val="32"/>
          <w:highlight w:val="none"/>
          <w:lang w:val="en-US" w:eastAsia="zh-CN"/>
        </w:rPr>
        <w:t>初稿无异议，但甲方保留在最终验收时提出因前期问题连锁反应而产生的异议的权利。</w:t>
      </w:r>
    </w:p>
    <w:p w14:paraId="52C69B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4.乙方应在收到甲方修改意见后3个日历天内完成修改完善，并向甲方交付符合要求的评估</w:t>
      </w:r>
      <w:r>
        <w:rPr>
          <w:rFonts w:hint="eastAsia" w:ascii="仿宋_GB2312" w:hAnsi="仿宋_GB2312" w:eastAsia="仿宋_GB2312" w:cs="仿宋_GB2312"/>
          <w:color w:val="auto"/>
          <w:kern w:val="2"/>
          <w:sz w:val="32"/>
          <w:szCs w:val="32"/>
          <w:highlight w:val="none"/>
          <w:lang w:val="en-US" w:eastAsia="zh-CN"/>
        </w:rPr>
        <w:t>报告</w:t>
      </w:r>
      <w:r>
        <w:rPr>
          <w:rFonts w:hint="eastAsia" w:hAnsi="仿宋_GB2312" w:eastAsia="仿宋_GB2312" w:cs="仿宋_GB2312"/>
          <w:color w:val="auto"/>
          <w:kern w:val="2"/>
          <w:sz w:val="32"/>
          <w:szCs w:val="32"/>
          <w:highlight w:val="none"/>
          <w:lang w:val="en-US" w:eastAsia="zh-CN"/>
        </w:rPr>
        <w:t>进度稿。</w:t>
      </w:r>
    </w:p>
    <w:p w14:paraId="0A95AD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5.进度稿获得甲方或上级单位书面审核通过后2个日历天内，乙方完成定稿并交付给甲方。</w:t>
      </w:r>
    </w:p>
    <w:p w14:paraId="135D36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Ansi="仿宋_GB2312" w:eastAsia="仿宋_GB2312" w:cs="仿宋_GB2312"/>
          <w:color w:val="auto"/>
          <w:kern w:val="2"/>
          <w:sz w:val="32"/>
          <w:szCs w:val="32"/>
          <w:highlight w:val="none"/>
          <w:lang w:val="en-US" w:eastAsia="zh-CN"/>
        </w:rPr>
      </w:pPr>
      <w:r>
        <w:rPr>
          <w:rFonts w:hint="eastAsia" w:hAnsi="仿宋_GB2312" w:eastAsia="仿宋_GB2312" w:cs="仿宋_GB2312"/>
          <w:color w:val="auto"/>
          <w:kern w:val="2"/>
          <w:sz w:val="32"/>
          <w:szCs w:val="32"/>
          <w:highlight w:val="none"/>
          <w:lang w:val="en-US" w:eastAsia="zh-CN"/>
        </w:rPr>
        <w:t>6.服务期限至甲方书面确认完成全部服务任务之日止，且不晚于基准日后40个日历天。</w:t>
      </w:r>
      <w:r>
        <w:rPr>
          <w:rFonts w:hint="default" w:hAnsi="仿宋_GB2312" w:eastAsia="仿宋_GB2312" w:cs="仿宋_GB2312"/>
          <w:color w:val="auto"/>
          <w:kern w:val="2"/>
          <w:sz w:val="32"/>
          <w:szCs w:val="32"/>
          <w:highlight w:val="none"/>
          <w:lang w:val="en-US" w:eastAsia="zh-CN"/>
        </w:rPr>
        <w:t>乙方完成全部评估报告定稿交付后，甲方有权根据项目实际需要安排审核和验收时间，乙方不得以甲方未在特定期限内出具书面确认为由主张视为验收通过或申请结算。除本合同另有明确约定的视为验收的情形外，任何默示或推定的验收均不成立，乙方仅在取得甲方明示书面确认的前提下，方可就对应成果申请结算。</w:t>
      </w:r>
    </w:p>
    <w:p w14:paraId="426F8013">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六、甲方</w:t>
      </w:r>
      <w:r>
        <w:rPr>
          <w:rFonts w:hint="eastAsia" w:ascii="黑体" w:hAnsi="黑体" w:eastAsia="黑体" w:cs="黑体"/>
          <w:b w:val="0"/>
          <w:bCs w:val="0"/>
          <w:color w:val="auto"/>
          <w:kern w:val="2"/>
          <w:sz w:val="32"/>
          <w:szCs w:val="32"/>
          <w:highlight w:val="none"/>
        </w:rPr>
        <w:t>的权利和义务</w:t>
      </w:r>
    </w:p>
    <w:p w14:paraId="6DF46A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应在本合同签订后提供编制本项目报告所需要的基础数据和技术资料。</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提供上述技术资料后</w:t>
      </w:r>
      <w:r>
        <w:rPr>
          <w:rFonts w:hint="eastAsia"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天内</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未提出书面异议的，视为</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lang w:val="en-US" w:eastAsia="zh-CN"/>
        </w:rPr>
        <w:t>已</w:t>
      </w:r>
      <w:r>
        <w:rPr>
          <w:rFonts w:hint="eastAsia" w:ascii="仿宋_GB2312" w:hAnsi="仿宋_GB2312" w:eastAsia="仿宋_GB2312" w:cs="仿宋_GB2312"/>
          <w:color w:val="auto"/>
          <w:kern w:val="2"/>
          <w:sz w:val="32"/>
          <w:szCs w:val="32"/>
          <w:highlight w:val="none"/>
        </w:rPr>
        <w:t>提供完整材料，且</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不得以</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未提交材料为由延误工作成果的交付时间。</w:t>
      </w:r>
    </w:p>
    <w:p w14:paraId="193F1D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在合同期内，</w:t>
      </w:r>
      <w:r>
        <w:rPr>
          <w:rFonts w:hint="eastAsia" w:ascii="仿宋_GB2312" w:hAnsi="仿宋_GB2312" w:eastAsia="仿宋_GB2312" w:cs="仿宋_GB2312"/>
          <w:color w:val="auto"/>
          <w:kern w:val="2"/>
          <w:sz w:val="32"/>
          <w:szCs w:val="32"/>
          <w:highlight w:val="none"/>
          <w:lang w:val="en-US" w:eastAsia="zh-CN"/>
        </w:rPr>
        <w:t>若有</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进行与本项目有关的讨论、询价、对外谈判、调研考察等汇总后的所有信息资料，应及时提供给</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，必要时可吸收</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编制人员参加，</w:t>
      </w:r>
      <w:r>
        <w:rPr>
          <w:rFonts w:hint="eastAsia" w:ascii="仿宋_GB2312" w:hAnsi="仿宋_GB2312" w:eastAsia="仿宋_GB2312" w:cs="仿宋_GB2312"/>
          <w:color w:val="auto"/>
          <w:sz w:val="32"/>
          <w:szCs w:val="32"/>
          <w:highlight w:val="none"/>
        </w:rPr>
        <w:t>此过程中</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不再另行收取任何费用</w:t>
      </w:r>
      <w:r>
        <w:rPr>
          <w:rFonts w:hint="eastAsia" w:ascii="仿宋_GB2312" w:hAnsi="仿宋_GB2312" w:eastAsia="仿宋_GB2312" w:cs="仿宋_GB2312"/>
          <w:color w:val="auto"/>
          <w:kern w:val="2"/>
          <w:sz w:val="32"/>
          <w:szCs w:val="32"/>
          <w:highlight w:val="none"/>
        </w:rPr>
        <w:t>。</w:t>
      </w:r>
    </w:p>
    <w:p w14:paraId="60C2E7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3.</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在合同期内项目发生变化时应及时通知</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w:t>
      </w:r>
    </w:p>
    <w:p w14:paraId="012705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提交的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不得擅自修改。</w:t>
      </w:r>
    </w:p>
    <w:p w14:paraId="7A5276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有权监督</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工作，并有权自行审核或提交相关部门审核</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所提交的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，并提出书面异议和修改意见。</w:t>
      </w:r>
    </w:p>
    <w:p w14:paraId="57D360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6.</w:t>
      </w:r>
      <w:r>
        <w:rPr>
          <w:rFonts w:hint="eastAsia" w:ascii="仿宋_GB2312" w:hAnsi="仿宋_GB2312" w:eastAsia="仿宋_GB2312" w:cs="仿宋_GB2312"/>
          <w:color w:val="auto"/>
          <w:kern w:val="2"/>
          <w:sz w:val="32"/>
          <w:szCs w:val="32"/>
          <w:highlight w:val="none"/>
        </w:rPr>
        <w:t>若</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专业工作人员不按咨询服务合同约定履行其义务与职责，</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有权要求更换</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专业工作人员，直至合同终止。</w:t>
      </w:r>
    </w:p>
    <w:p w14:paraId="5C92A969">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七、</w:t>
      </w:r>
      <w:r>
        <w:rPr>
          <w:rFonts w:hint="eastAsia" w:ascii="黑体" w:hAnsi="黑体" w:eastAsia="黑体" w:cs="黑体"/>
          <w:b w:val="0"/>
          <w:bCs w:val="0"/>
          <w:color w:val="auto"/>
          <w:kern w:val="2"/>
          <w:sz w:val="32"/>
          <w:szCs w:val="32"/>
          <w:highlight w:val="none"/>
          <w:lang w:eastAsia="zh-CN"/>
        </w:rPr>
        <w:t>乙方</w:t>
      </w:r>
      <w:r>
        <w:rPr>
          <w:rFonts w:hint="eastAsia" w:ascii="黑体" w:hAnsi="黑体" w:eastAsia="黑体" w:cs="黑体"/>
          <w:b w:val="0"/>
          <w:bCs w:val="0"/>
          <w:color w:val="auto"/>
          <w:kern w:val="2"/>
          <w:sz w:val="32"/>
          <w:szCs w:val="32"/>
          <w:highlight w:val="none"/>
        </w:rPr>
        <w:t>的权利和义务</w:t>
      </w:r>
    </w:p>
    <w:p w14:paraId="3B081573">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应在合同约定的时间、份数完成</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，使本报告达到合同约定或</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的要求以及本项目所需的深度，并对</w:t>
      </w:r>
      <w:r>
        <w:rPr>
          <w:rFonts w:hint="eastAsia" w:hAnsi="仿宋_GB2312" w:eastAsia="仿宋_GB2312" w:cs="仿宋_GB2312"/>
          <w:color w:val="auto"/>
          <w:kern w:val="2"/>
          <w:sz w:val="32"/>
          <w:szCs w:val="32"/>
          <w:highlight w:val="none"/>
          <w:lang w:eastAsia="zh-CN"/>
        </w:rPr>
        <w:t>评估报告</w:t>
      </w:r>
      <w:r>
        <w:rPr>
          <w:rFonts w:hint="eastAsia" w:ascii="仿宋_GB2312" w:hAnsi="仿宋_GB2312" w:eastAsia="仿宋_GB2312" w:cs="仿宋_GB2312"/>
          <w:color w:val="auto"/>
          <w:kern w:val="2"/>
          <w:sz w:val="32"/>
          <w:szCs w:val="32"/>
          <w:highlight w:val="none"/>
        </w:rPr>
        <w:t>的真实性、准确性、可执行性及结论性负责。</w:t>
      </w:r>
    </w:p>
    <w:p w14:paraId="65BB1113">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提供的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达不到合同要求的，</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w:t>
      </w:r>
      <w:r>
        <w:rPr>
          <w:rFonts w:hint="eastAsia" w:ascii="仿宋_GB2312" w:hAnsi="仿宋_GB2312" w:eastAsia="仿宋_GB2312" w:cs="仿宋_GB2312"/>
          <w:color w:val="auto"/>
          <w:kern w:val="2"/>
          <w:sz w:val="32"/>
          <w:szCs w:val="32"/>
          <w:highlight w:val="none"/>
          <w:lang w:val="en-US" w:eastAsia="zh-CN"/>
        </w:rPr>
        <w:t>在甲方要求的时间内</w:t>
      </w:r>
      <w:r>
        <w:rPr>
          <w:rFonts w:hint="eastAsia" w:ascii="仿宋_GB2312" w:hAnsi="仿宋_GB2312" w:eastAsia="仿宋_GB2312" w:cs="仿宋_GB2312"/>
          <w:color w:val="auto"/>
          <w:kern w:val="2"/>
          <w:sz w:val="32"/>
          <w:szCs w:val="32"/>
          <w:highlight w:val="none"/>
        </w:rPr>
        <w:t>免费无条件完善、修改</w:t>
      </w:r>
      <w:r>
        <w:rPr>
          <w:rFonts w:hint="eastAsia"/>
          <w:color w:val="auto"/>
          <w:highlight w:val="none"/>
          <w:lang w:eastAsia="zh-CN"/>
        </w:rPr>
        <w:t>，</w:t>
      </w:r>
      <w:r>
        <w:rPr>
          <w:rFonts w:hint="eastAsia" w:ascii="仿宋_GB2312" w:hAnsi="仿宋_GB2312" w:eastAsia="仿宋_GB2312" w:cs="仿宋_GB2312"/>
          <w:color w:val="auto"/>
          <w:kern w:val="2"/>
          <w:sz w:val="32"/>
          <w:szCs w:val="32"/>
          <w:highlight w:val="none"/>
          <w:lang w:val="en-US" w:eastAsia="zh-CN"/>
        </w:rPr>
        <w:t>直至达到合同约定标准且经甲方书面确认通过为止。</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项目负责人为：</w:t>
      </w:r>
      <w:permStart w:id="34" w:edGrp="everyone"/>
      <w:r>
        <w:rPr>
          <w:rFonts w:hint="eastAsia" w:ascii="仿宋_GB2312" w:hAnsi="仿宋_GB2312" w:eastAsia="仿宋_GB2312" w:cs="仿宋_GB2312"/>
          <w:color w:val="auto"/>
          <w:kern w:val="2"/>
          <w:sz w:val="32"/>
          <w:szCs w:val="32"/>
          <w:highlight w:val="none"/>
        </w:rPr>
        <w:t xml:space="preserve"> </w:t>
      </w:r>
      <w:r>
        <w:rPr>
          <w:rFonts w:hint="eastAsia" w:ascii="仿宋_GB2312" w:hAnsi="仿宋_GB2312" w:eastAsia="仿宋_GB2312" w:cs="仿宋_GB2312"/>
          <w:color w:val="auto"/>
          <w:kern w:val="2"/>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rPr>
        <w:t xml:space="preserve"> </w:t>
      </w:r>
      <w:permEnd w:id="34"/>
      <w:r>
        <w:rPr>
          <w:rFonts w:hint="eastAsia" w:ascii="仿宋_GB2312" w:hAnsi="仿宋_GB2312" w:eastAsia="仿宋_GB2312" w:cs="仿宋_GB2312"/>
          <w:color w:val="auto"/>
          <w:kern w:val="2"/>
          <w:sz w:val="32"/>
          <w:szCs w:val="32"/>
          <w:highlight w:val="none"/>
        </w:rPr>
        <w:t>，联系方式：</w:t>
      </w:r>
      <w:permStart w:id="35" w:edGrp="everyone"/>
      <w:r>
        <w:rPr>
          <w:rFonts w:hint="eastAsia" w:ascii="仿宋_GB2312" w:hAnsi="仿宋_GB2312" w:eastAsia="仿宋_GB2312" w:cs="仿宋_GB2312"/>
          <w:color w:val="auto"/>
          <w:kern w:val="2"/>
          <w:sz w:val="32"/>
          <w:szCs w:val="32"/>
          <w:highlight w:val="none"/>
        </w:rPr>
        <w:t xml:space="preserve"> </w:t>
      </w:r>
      <w:r>
        <w:rPr>
          <w:rFonts w:hint="eastAsia" w:ascii="仿宋_GB2312" w:hAnsi="仿宋_GB2312" w:eastAsia="仿宋_GB2312" w:cs="仿宋_GB2312"/>
          <w:color w:val="auto"/>
          <w:kern w:val="2"/>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rPr>
        <w:t xml:space="preserve"> </w:t>
      </w:r>
      <w:permEnd w:id="35"/>
      <w:r>
        <w:rPr>
          <w:rFonts w:hint="eastAsia" w:ascii="仿宋_GB2312" w:hAnsi="仿宋_GB2312" w:eastAsia="仿宋_GB2312" w:cs="仿宋_GB2312"/>
          <w:color w:val="auto"/>
          <w:kern w:val="2"/>
          <w:sz w:val="32"/>
          <w:szCs w:val="32"/>
          <w:highlight w:val="none"/>
        </w:rPr>
        <w:t>。</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及该负责人均应具备履行本合同所必备的资质或授权，负责人负责带领团队完成本合同服务</w:t>
      </w:r>
      <w:r>
        <w:rPr>
          <w:rFonts w:hint="eastAsia"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乙方应在合同签订及履行过程中，向甲方提供其机构资质文件、项目负责人及主要团队成员的执业资格证明，并保证上述资质在合同履行期间持续有效，如因资质不符或失效导致甲方或项目公司遭受任何损失的，由乙方承担全部责任。</w:t>
      </w:r>
    </w:p>
    <w:p w14:paraId="1FD8FF41">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3.</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提供的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内容齐全，数据准确，论据充分，深度符合本项目需求及现行国家、地区及行业有关规范和标准及</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的合理要求，主要技术参数满足设计要求；投资应进行分项详细估算。</w:t>
      </w:r>
    </w:p>
    <w:p w14:paraId="1FEE963E">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应按照本合同的约定承担保密义务。</w:t>
      </w:r>
    </w:p>
    <w:p w14:paraId="3E23EB2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未经</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同意，</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不得擅自将</w:t>
      </w:r>
      <w:r>
        <w:rPr>
          <w:rFonts w:hint="eastAsia" w:hAnsi="仿宋_GB2312" w:eastAsia="仿宋_GB2312" w:cs="仿宋_GB2312"/>
          <w:color w:val="auto"/>
          <w:kern w:val="2"/>
          <w:sz w:val="32"/>
          <w:szCs w:val="32"/>
          <w:highlight w:val="none"/>
          <w:lang w:eastAsia="zh-CN"/>
        </w:rPr>
        <w:t>评估报告</w:t>
      </w:r>
      <w:r>
        <w:rPr>
          <w:rFonts w:hint="eastAsia" w:ascii="仿宋_GB2312" w:hAnsi="仿宋_GB2312" w:eastAsia="仿宋_GB2312" w:cs="仿宋_GB2312"/>
          <w:color w:val="auto"/>
          <w:kern w:val="2"/>
          <w:sz w:val="32"/>
          <w:szCs w:val="32"/>
          <w:highlight w:val="none"/>
        </w:rPr>
        <w:t>提供或披露给第三方使用，否则按照合同约定承担违约责任。</w:t>
      </w:r>
    </w:p>
    <w:p w14:paraId="11079AA7">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6.</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保证其所提供的成果内容，不含任何违法或侵犯任何第三方的合法利益内容，不存在知识产权纠纷，否则除返还</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已支付的合同费用外，同时还应按本合同约定承担违约责任及赔偿责任</w:t>
      </w:r>
      <w:r>
        <w:rPr>
          <w:rFonts w:hint="eastAsia" w:hAnsi="仿宋_GB2312" w:eastAsia="仿宋_GB2312" w:cs="仿宋_GB2312"/>
          <w:color w:val="auto"/>
          <w:kern w:val="2"/>
          <w:sz w:val="32"/>
          <w:szCs w:val="32"/>
          <w:highlight w:val="none"/>
          <w:lang w:eastAsia="zh-CN"/>
        </w:rPr>
        <w:t>，其中，违约金按合同总金额的【</w:t>
      </w:r>
      <w:r>
        <w:rPr>
          <w:rFonts w:hint="eastAsia" w:hAnsi="仿宋_GB2312" w:eastAsia="仿宋_GB2312" w:cs="仿宋_GB2312"/>
          <w:color w:val="auto"/>
          <w:kern w:val="2"/>
          <w:sz w:val="32"/>
          <w:szCs w:val="32"/>
          <w:highlight w:val="none"/>
          <w:lang w:val="en-US" w:eastAsia="zh-CN"/>
        </w:rPr>
        <w:t>1</w:t>
      </w:r>
      <w:r>
        <w:rPr>
          <w:rFonts w:hint="eastAsia" w:hAnsi="仿宋_GB2312" w:eastAsia="仿宋_GB2312" w:cs="仿宋_GB2312"/>
          <w:color w:val="auto"/>
          <w:kern w:val="2"/>
          <w:sz w:val="32"/>
          <w:szCs w:val="32"/>
          <w:highlight w:val="none"/>
          <w:lang w:eastAsia="zh-CN"/>
        </w:rPr>
        <w:t>0】%计算。</w:t>
      </w:r>
    </w:p>
    <w:p w14:paraId="4EF34D9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7.</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应严格根据国家、地区及行业的有关政策、法规及规范要求，按时向</w:t>
      </w: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交付</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并严格控制质量，交付</w:t>
      </w:r>
      <w:r>
        <w:rPr>
          <w:rFonts w:hint="eastAsia" w:hAnsi="仿宋_GB2312" w:eastAsia="仿宋_GB2312" w:cs="仿宋_GB2312"/>
          <w:color w:val="auto"/>
          <w:kern w:val="2"/>
          <w:sz w:val="32"/>
          <w:szCs w:val="32"/>
          <w:highlight w:val="none"/>
          <w:lang w:eastAsia="zh-CN"/>
        </w:rPr>
        <w:t>评估报告</w:t>
      </w:r>
      <w:r>
        <w:rPr>
          <w:rFonts w:hint="eastAsia" w:ascii="仿宋_GB2312" w:hAnsi="仿宋_GB2312" w:eastAsia="仿宋_GB2312" w:cs="仿宋_GB2312"/>
          <w:color w:val="auto"/>
          <w:kern w:val="2"/>
          <w:sz w:val="32"/>
          <w:szCs w:val="32"/>
          <w:highlight w:val="none"/>
        </w:rPr>
        <w:t>后应按</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要求参加有关的书面审查。如果</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提交的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未被</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或上级单位认可，则</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应继续修改并提交</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上报，直至被</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或上级单位认可通过为止，此过程</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不再另行收费。</w:t>
      </w:r>
    </w:p>
    <w:p w14:paraId="3959DFDA">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8.</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不得未经</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书面同意，全部或部分转让合同权利义务，不得转包、分包其应履行的合同义务。</w:t>
      </w:r>
    </w:p>
    <w:p w14:paraId="2963F52B">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9.</w:t>
      </w:r>
      <w:r>
        <w:rPr>
          <w:rFonts w:hint="eastAsia" w:ascii="仿宋_GB2312" w:hAnsi="仿宋_GB2312" w:eastAsia="仿宋_GB2312" w:cs="仿宋_GB2312"/>
          <w:color w:val="auto"/>
          <w:kern w:val="2"/>
          <w:sz w:val="32"/>
          <w:szCs w:val="32"/>
          <w:highlight w:val="none"/>
        </w:rPr>
        <w:t>如因</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不准确造成的法律责任，全部由</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承担，造成</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损失以及</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向第三方支付的额外费用（包括但不限于违约金、赔偿金或另行委托的费用），最终均由</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负担。</w:t>
      </w:r>
    </w:p>
    <w:p w14:paraId="2A9AE34A">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10.</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须踏勘</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所提供的及本合同载明的场地和地点、周围环境及了解资料，掌握所有与本合同履行有关的情况，合同签订后</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以不清楚场地或环境以及其他理由为借口提出的任何索赔及实际工作量的增加均不予考虑。</w:t>
      </w:r>
    </w:p>
    <w:p w14:paraId="5A22C9EF">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11.</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应在收到</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书面提出的建议或者异议后</w:t>
      </w:r>
      <w:r>
        <w:rPr>
          <w:rFonts w:hint="eastAsia" w:hAnsi="仿宋_GB2312" w:eastAsia="仿宋_GB2312" w:cs="仿宋_GB2312"/>
          <w:color w:val="auto"/>
          <w:kern w:val="2"/>
          <w:sz w:val="32"/>
          <w:szCs w:val="32"/>
          <w:highlight w:val="none"/>
          <w:lang w:val="en-US" w:eastAsia="zh-CN"/>
        </w:rPr>
        <w:t>3</w:t>
      </w:r>
      <w:r>
        <w:rPr>
          <w:rFonts w:hint="eastAsia" w:ascii="仿宋_GB2312" w:hAnsi="仿宋_GB2312" w:eastAsia="仿宋_GB2312" w:cs="仿宋_GB2312"/>
          <w:color w:val="auto"/>
          <w:kern w:val="2"/>
          <w:sz w:val="32"/>
          <w:szCs w:val="32"/>
          <w:highlight w:val="none"/>
        </w:rPr>
        <w:t>日内给予书面答复。</w:t>
      </w:r>
    </w:p>
    <w:p w14:paraId="7B3CF745">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12.</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为履行本合同而支出的购买版权费等，由</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自费向有关出版部门购买。</w:t>
      </w:r>
    </w:p>
    <w:p w14:paraId="27207700">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13.乙方</w:t>
      </w:r>
      <w:r>
        <w:rPr>
          <w:rFonts w:hint="eastAsia" w:ascii="仿宋_GB2312" w:hAnsi="仿宋_GB2312" w:eastAsia="仿宋_GB2312" w:cs="仿宋_GB2312"/>
          <w:color w:val="auto"/>
          <w:kern w:val="2"/>
          <w:sz w:val="32"/>
          <w:szCs w:val="32"/>
          <w:highlight w:val="none"/>
        </w:rPr>
        <w:t>应在接到</w:t>
      </w:r>
      <w:r>
        <w:rPr>
          <w:rFonts w:hint="eastAsia" w:ascii="仿宋_GB2312" w:hAnsi="仿宋_GB2312" w:eastAsia="仿宋_GB2312" w:cs="仿宋_GB2312"/>
          <w:color w:val="auto"/>
          <w:kern w:val="2"/>
          <w:sz w:val="32"/>
          <w:szCs w:val="32"/>
          <w:highlight w:val="none"/>
          <w:lang w:val="en-US" w:eastAsia="zh-CN"/>
        </w:rPr>
        <w:t>甲方</w:t>
      </w:r>
      <w:r>
        <w:rPr>
          <w:rFonts w:hint="eastAsia" w:ascii="仿宋_GB2312" w:hAnsi="仿宋_GB2312" w:eastAsia="仿宋_GB2312" w:cs="仿宋_GB2312"/>
          <w:color w:val="auto"/>
          <w:kern w:val="2"/>
          <w:sz w:val="32"/>
          <w:szCs w:val="32"/>
          <w:highlight w:val="none"/>
        </w:rPr>
        <w:t>更换专业工作人员的通知后【1】天内完成更换</w:t>
      </w:r>
      <w:r>
        <w:rPr>
          <w:rFonts w:hint="eastAsia"/>
          <w:color w:val="auto"/>
          <w:highlight w:val="none"/>
          <w:lang w:eastAsia="zh-CN"/>
        </w:rPr>
        <w:t>，</w:t>
      </w:r>
      <w:r>
        <w:rPr>
          <w:rFonts w:hint="eastAsia" w:ascii="仿宋_GB2312" w:hAnsi="仿宋_GB2312" w:eastAsia="仿宋_GB2312" w:cs="仿宋_GB2312"/>
          <w:color w:val="auto"/>
          <w:kern w:val="2"/>
          <w:sz w:val="32"/>
          <w:szCs w:val="32"/>
          <w:highlight w:val="none"/>
          <w:lang w:eastAsia="zh-CN"/>
        </w:rPr>
        <w:t>如乙方未在前述期限内完成更换，甲方有权暂停支付相应费用并视情节轻重要求乙方支付合同暂定含税总价1%的违约金；若乙方延迟更换超过5日历天的，甲方有权单方解除本合同并要求乙方承担本合同约定的相应违约责任及赔偿责任。</w:t>
      </w:r>
    </w:p>
    <w:p w14:paraId="4FF7296B">
      <w:pPr>
        <w:spacing w:line="560" w:lineRule="exact"/>
        <w:ind w:firstLine="640"/>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14.</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在本合同项下利用</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提交的资料和工作条件所完成的</w:t>
      </w:r>
      <w:r>
        <w:rPr>
          <w:rFonts w:hint="eastAsia" w:ascii="仿宋_GB2312"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rPr>
        <w:t>工作成果知识产权归</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所有。经</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事先书面同意，</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可在一定程度上，非独家地合理使用</w:t>
      </w:r>
      <w:r>
        <w:rPr>
          <w:rFonts w:hint="eastAsia" w:ascii="仿宋_GB2312"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rPr>
        <w:t>工作成果，是否系合理使用应由</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自行判断。未经</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事先书面同意，</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不得将本合同项下全部或部分成果提供给任何第三方，如需对成果或其任何部分进行复制，</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应就该复制的形式和内容取得</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的事先书面同意</w:t>
      </w:r>
      <w:r>
        <w:rPr>
          <w:rFonts w:hint="eastAsia" w:ascii="仿宋_GB2312" w:hAnsi="仿宋_GB2312" w:eastAsia="仿宋_GB2312" w:cs="仿宋_GB2312"/>
          <w:color w:val="auto"/>
          <w:kern w:val="2"/>
          <w:sz w:val="32"/>
          <w:szCs w:val="32"/>
          <w:highlight w:val="none"/>
          <w:lang w:eastAsia="zh-CN"/>
        </w:rPr>
        <w:t>。</w:t>
      </w:r>
    </w:p>
    <w:p w14:paraId="19704A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八、</w:t>
      </w:r>
      <w:r>
        <w:rPr>
          <w:rFonts w:hint="eastAsia" w:ascii="黑体" w:hAnsi="黑体" w:eastAsia="黑体" w:cs="黑体"/>
          <w:b w:val="0"/>
          <w:bCs w:val="0"/>
          <w:color w:val="auto"/>
          <w:kern w:val="2"/>
          <w:sz w:val="32"/>
          <w:szCs w:val="32"/>
          <w:highlight w:val="none"/>
        </w:rPr>
        <w:t>保密条款</w:t>
      </w:r>
    </w:p>
    <w:p w14:paraId="138EB1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在履行本合同过程中获得的</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或上级单位或利益相关方的一切非公开资料、档案、文件、信息，包括但不限于基础数据、技术资料和经营资料，编制的</w:t>
      </w:r>
      <w:r>
        <w:rPr>
          <w:rFonts w:hint="eastAsia" w:hAnsi="仿宋_GB2312" w:eastAsia="仿宋_GB2312" w:cs="仿宋_GB2312"/>
          <w:color w:val="auto"/>
          <w:kern w:val="2"/>
          <w:sz w:val="32"/>
          <w:szCs w:val="32"/>
          <w:highlight w:val="none"/>
          <w:lang w:eastAsia="zh-CN"/>
        </w:rPr>
        <w:t>评估报告</w:t>
      </w:r>
      <w:r>
        <w:rPr>
          <w:rFonts w:hint="eastAsia" w:ascii="仿宋_GB2312" w:hAnsi="仿宋_GB2312" w:eastAsia="仿宋_GB2312" w:cs="仿宋_GB2312"/>
          <w:color w:val="auto"/>
          <w:kern w:val="2"/>
          <w:sz w:val="32"/>
          <w:szCs w:val="32"/>
          <w:highlight w:val="none"/>
        </w:rPr>
        <w:t>，以及与本合同内容相关的资料、图纸、数据等均为保密信息，</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应承担保密义务。</w:t>
      </w:r>
    </w:p>
    <w:p w14:paraId="7EAC2F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未经</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书面同意，</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不得以任何方式（包括但不限于复制、仿造等手段）将保密信息泄露给本合同以外的任何第三方，不得将保密信息用于本项目以外的其他用途。</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应严格按照本合同的目的、用途，以合理的方式获悉、使用保密信息，并采取合理的保密措施防止信息的泄露。</w:t>
      </w:r>
    </w:p>
    <w:p w14:paraId="3E889D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3.</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若违反本保密义务的，</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应赔偿</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全部损失，损失范围包括但不限于</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的名誉损失、直接损失和可得利益的损失，以及诉讼费、保全费、评估费、鉴定费、调查费、公证费、律师费，以及向第三方支付的赔偿、为应对第三方的指控而支付的一切费用等，若</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泄露</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或上级单位或利益相关方资料信息造成严重后果的，</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有权向</w:t>
      </w:r>
      <w:bookmarkStart w:id="2" w:name="_GoBack"/>
      <w:bookmarkEnd w:id="2"/>
      <w:r>
        <w:rPr>
          <w:rFonts w:hint="eastAsia" w:ascii="仿宋_GB2312" w:hAnsi="仿宋_GB2312" w:eastAsia="仿宋_GB2312" w:cs="仿宋_GB2312"/>
          <w:color w:val="auto"/>
          <w:kern w:val="2"/>
          <w:sz w:val="32"/>
          <w:szCs w:val="32"/>
          <w:highlight w:val="none"/>
        </w:rPr>
        <w:t>公安机关报案。</w:t>
      </w:r>
    </w:p>
    <w:p w14:paraId="260DB9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4.</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承担保密义务直到本条款中所称的保密信息进入公示领域或</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将这些保密信息公开为止，保密期限不因本合同</w:t>
      </w:r>
      <w:r>
        <w:rPr>
          <w:rFonts w:hint="eastAsia" w:ascii="仿宋_GB2312" w:hAnsi="仿宋_GB2312" w:eastAsia="仿宋_GB2312" w:cs="仿宋_GB2312"/>
          <w:color w:val="auto"/>
          <w:kern w:val="2"/>
          <w:sz w:val="32"/>
          <w:szCs w:val="32"/>
          <w:highlight w:val="none"/>
          <w:lang w:val="en-US" w:eastAsia="zh-CN"/>
        </w:rPr>
        <w:t>未</w:t>
      </w:r>
      <w:r>
        <w:rPr>
          <w:rFonts w:hint="eastAsia" w:ascii="仿宋_GB2312" w:hAnsi="仿宋_GB2312" w:eastAsia="仿宋_GB2312" w:cs="仿宋_GB2312"/>
          <w:color w:val="auto"/>
          <w:kern w:val="2"/>
          <w:sz w:val="32"/>
          <w:szCs w:val="32"/>
          <w:highlight w:val="none"/>
        </w:rPr>
        <w:t>生效、被撤销、变更、解除</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终止或履行完毕而终止。</w:t>
      </w:r>
    </w:p>
    <w:p w14:paraId="001EDF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九、</w:t>
      </w:r>
      <w:r>
        <w:rPr>
          <w:rFonts w:hint="eastAsia" w:ascii="黑体" w:hAnsi="黑体" w:eastAsia="黑体" w:cs="黑体"/>
          <w:b w:val="0"/>
          <w:bCs w:val="0"/>
          <w:color w:val="auto"/>
          <w:kern w:val="2"/>
          <w:sz w:val="32"/>
          <w:szCs w:val="32"/>
          <w:highlight w:val="none"/>
        </w:rPr>
        <w:t>交付与验收</w:t>
      </w:r>
    </w:p>
    <w:p w14:paraId="1559C1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双方确定，按以下标准和方式对</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提交的</w:t>
      </w:r>
      <w:r>
        <w:rPr>
          <w:rFonts w:hint="eastAsia" w:hAnsi="仿宋_GB2312" w:eastAsia="仿宋_GB2312" w:cs="仿宋_GB2312"/>
          <w:color w:val="auto"/>
          <w:kern w:val="2"/>
          <w:sz w:val="32"/>
          <w:szCs w:val="32"/>
          <w:highlight w:val="none"/>
          <w:lang w:eastAsia="zh-CN"/>
        </w:rPr>
        <w:t>评估报告</w:t>
      </w:r>
      <w:r>
        <w:rPr>
          <w:rFonts w:hint="eastAsia" w:ascii="仿宋_GB2312" w:hAnsi="仿宋_GB2312" w:eastAsia="仿宋_GB2312" w:cs="仿宋_GB2312"/>
          <w:color w:val="auto"/>
          <w:kern w:val="2"/>
          <w:sz w:val="32"/>
          <w:szCs w:val="32"/>
          <w:highlight w:val="none"/>
        </w:rPr>
        <w:t>进行验收：</w:t>
      </w:r>
    </w:p>
    <w:p w14:paraId="4492DFC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rPr>
        <w:t>交付内容、形式、数量：按照本合同第二条、第</w:t>
      </w:r>
      <w:r>
        <w:rPr>
          <w:rFonts w:hint="eastAsia" w:ascii="仿宋_GB2312" w:hAnsi="仿宋_GB2312" w:eastAsia="仿宋_GB2312" w:cs="仿宋_GB2312"/>
          <w:color w:val="auto"/>
          <w:kern w:val="2"/>
          <w:sz w:val="32"/>
          <w:szCs w:val="32"/>
          <w:highlight w:val="none"/>
          <w:lang w:val="en-US" w:eastAsia="zh-CN"/>
        </w:rPr>
        <w:t>四</w:t>
      </w:r>
      <w:r>
        <w:rPr>
          <w:rFonts w:hint="eastAsia" w:ascii="仿宋_GB2312" w:hAnsi="仿宋_GB2312" w:eastAsia="仿宋_GB2312" w:cs="仿宋_GB2312"/>
          <w:color w:val="auto"/>
          <w:kern w:val="2"/>
          <w:sz w:val="32"/>
          <w:szCs w:val="32"/>
          <w:highlight w:val="none"/>
        </w:rPr>
        <w:t>条执行</w:t>
      </w:r>
      <w:r>
        <w:rPr>
          <w:rFonts w:hint="eastAsia" w:ascii="仿宋_GB2312" w:hAnsi="仿宋_GB2312" w:eastAsia="仿宋_GB2312" w:cs="仿宋_GB2312"/>
          <w:color w:val="auto"/>
          <w:sz w:val="32"/>
          <w:szCs w:val="32"/>
          <w:highlight w:val="none"/>
        </w:rPr>
        <w:t>。</w:t>
      </w:r>
    </w:p>
    <w:p w14:paraId="022D2CE3">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成果验收</w:t>
      </w:r>
    </w:p>
    <w:p w14:paraId="01683D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成果的验收以甲方出具的书面验收意见作为唯一依据，</w:t>
      </w:r>
      <w:r>
        <w:rPr>
          <w:rFonts w:hint="eastAsia" w:ascii="仿宋_GB2312" w:hAnsi="仿宋_GB2312" w:eastAsia="仿宋_GB2312" w:cs="仿宋_GB2312"/>
          <w:color w:val="auto"/>
          <w:kern w:val="2"/>
          <w:sz w:val="32"/>
          <w:szCs w:val="32"/>
          <w:highlight w:val="none"/>
        </w:rPr>
        <w:t>在合同约定的验收期内，仍不具备验收条件的或验收不合格的，经</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同意，可以给予</w:t>
      </w:r>
      <w:r>
        <w:rPr>
          <w:rFonts w:hint="eastAsia" w:ascii="仿宋_GB2312" w:hAnsi="仿宋_GB2312" w:eastAsia="仿宋_GB2312" w:cs="仿宋_GB2312"/>
          <w:color w:val="auto"/>
          <w:kern w:val="2"/>
          <w:sz w:val="32"/>
          <w:szCs w:val="32"/>
          <w:highlight w:val="none"/>
          <w:lang w:eastAsia="zh-CN"/>
        </w:rPr>
        <w:t>乙方</w:t>
      </w:r>
      <w:r>
        <w:rPr>
          <w:rFonts w:hint="eastAsia" w:hAnsi="仿宋_GB2312" w:eastAsia="仿宋_GB2312" w:cs="仿宋_GB2312"/>
          <w:color w:val="auto"/>
          <w:kern w:val="2"/>
          <w:sz w:val="32"/>
          <w:szCs w:val="32"/>
          <w:highlight w:val="none"/>
          <w:u w:val="none"/>
          <w:lang w:val="en-US" w:eastAsia="zh-CN"/>
        </w:rPr>
        <w:t>2</w:t>
      </w:r>
      <w:r>
        <w:rPr>
          <w:rFonts w:hint="eastAsia" w:ascii="仿宋_GB2312" w:hAnsi="仿宋_GB2312" w:eastAsia="仿宋_GB2312" w:cs="仿宋_GB2312"/>
          <w:color w:val="auto"/>
          <w:kern w:val="2"/>
          <w:sz w:val="32"/>
          <w:szCs w:val="32"/>
          <w:highlight w:val="none"/>
        </w:rPr>
        <w:t>日的宽限期进行完善和修正。在宽限期内验收合格的，不视为违约；宽限期满仍不具备验收条件或验收不合格的，按第</w:t>
      </w:r>
      <w:r>
        <w:rPr>
          <w:rFonts w:hint="eastAsia" w:ascii="仿宋_GB2312" w:hAnsi="仿宋_GB2312" w:eastAsia="仿宋_GB2312" w:cs="仿宋_GB2312"/>
          <w:color w:val="auto"/>
          <w:kern w:val="2"/>
          <w:sz w:val="32"/>
          <w:szCs w:val="32"/>
          <w:highlight w:val="none"/>
          <w:lang w:val="en-US" w:eastAsia="zh-CN"/>
        </w:rPr>
        <w:t>十</w:t>
      </w:r>
      <w:r>
        <w:rPr>
          <w:rFonts w:hint="eastAsia" w:ascii="仿宋_GB2312" w:hAnsi="仿宋_GB2312" w:eastAsia="仿宋_GB2312" w:cs="仿宋_GB2312"/>
          <w:color w:val="auto"/>
          <w:kern w:val="2"/>
          <w:sz w:val="32"/>
          <w:szCs w:val="32"/>
          <w:highlight w:val="none"/>
        </w:rPr>
        <w:t>条“违约责任”处理。</w:t>
      </w:r>
    </w:p>
    <w:p w14:paraId="2D86BB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十</w:t>
      </w:r>
      <w:r>
        <w:rPr>
          <w:rFonts w:hint="eastAsia" w:ascii="黑体" w:hAnsi="黑体" w:eastAsia="黑体" w:cs="黑体"/>
          <w:b w:val="0"/>
          <w:bCs w:val="0"/>
          <w:color w:val="auto"/>
          <w:kern w:val="2"/>
          <w:sz w:val="32"/>
          <w:szCs w:val="32"/>
          <w:highlight w:val="none"/>
          <w:lang w:eastAsia="zh-CN"/>
        </w:rPr>
        <w:t>、</w:t>
      </w:r>
      <w:r>
        <w:rPr>
          <w:rFonts w:hint="eastAsia" w:ascii="黑体" w:hAnsi="黑体" w:eastAsia="黑体" w:cs="黑体"/>
          <w:b w:val="0"/>
          <w:bCs w:val="0"/>
          <w:color w:val="auto"/>
          <w:kern w:val="2"/>
          <w:sz w:val="32"/>
          <w:szCs w:val="32"/>
          <w:highlight w:val="none"/>
        </w:rPr>
        <w:t>违约责任</w:t>
      </w:r>
    </w:p>
    <w:p w14:paraId="17861ACF">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楷体" w:hAnsi="楷体" w:eastAsia="楷体" w:cs="楷体"/>
          <w:color w:val="auto"/>
          <w:kern w:val="2"/>
          <w:sz w:val="32"/>
          <w:szCs w:val="32"/>
          <w:highlight w:val="none"/>
        </w:rPr>
      </w:pPr>
      <w:r>
        <w:rPr>
          <w:rFonts w:hint="eastAsia" w:ascii="楷体" w:hAnsi="楷体" w:eastAsia="楷体" w:cs="楷体"/>
          <w:color w:val="auto"/>
          <w:kern w:val="2"/>
          <w:sz w:val="32"/>
          <w:szCs w:val="32"/>
          <w:highlight w:val="none"/>
          <w:lang w:val="en-US" w:eastAsia="zh-CN"/>
        </w:rPr>
        <w:t>1.</w:t>
      </w:r>
      <w:r>
        <w:rPr>
          <w:rFonts w:hint="eastAsia" w:ascii="楷体" w:hAnsi="楷体" w:eastAsia="楷体" w:cs="楷体"/>
          <w:color w:val="auto"/>
          <w:kern w:val="2"/>
          <w:sz w:val="32"/>
          <w:szCs w:val="32"/>
          <w:highlight w:val="none"/>
          <w:lang w:eastAsia="zh-CN"/>
        </w:rPr>
        <w:t>甲方</w:t>
      </w:r>
      <w:r>
        <w:rPr>
          <w:rFonts w:hint="eastAsia" w:ascii="楷体" w:hAnsi="楷体" w:eastAsia="楷体" w:cs="楷体"/>
          <w:color w:val="auto"/>
          <w:kern w:val="2"/>
          <w:sz w:val="32"/>
          <w:szCs w:val="32"/>
          <w:highlight w:val="none"/>
          <w:lang w:val="en-US" w:eastAsia="zh-CN"/>
        </w:rPr>
        <w:t>及项目公司</w:t>
      </w:r>
      <w:r>
        <w:rPr>
          <w:rFonts w:hint="eastAsia" w:ascii="楷体" w:hAnsi="楷体" w:eastAsia="楷体" w:cs="楷体"/>
          <w:color w:val="auto"/>
          <w:kern w:val="2"/>
          <w:sz w:val="32"/>
          <w:szCs w:val="32"/>
          <w:highlight w:val="none"/>
        </w:rPr>
        <w:t>的违约责任</w:t>
      </w:r>
    </w:p>
    <w:p w14:paraId="5627E64F">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未按时提供【评估对象</w:t>
      </w:r>
      <w:r>
        <w:rPr>
          <w:rFonts w:hint="eastAsia" w:ascii="仿宋_GB2312" w:hAnsi="仿宋_GB2312" w:eastAsia="仿宋_GB2312" w:cs="仿宋_GB2312"/>
          <w:color w:val="auto"/>
          <w:kern w:val="2"/>
          <w:sz w:val="32"/>
          <w:szCs w:val="32"/>
          <w:highlight w:val="none"/>
          <w:lang w:val="en-US" w:eastAsia="zh-CN"/>
        </w:rPr>
        <w:t>相关</w:t>
      </w:r>
      <w:r>
        <w:rPr>
          <w:rFonts w:hint="eastAsia" w:ascii="仿宋_GB2312" w:hAnsi="仿宋_GB2312" w:eastAsia="仿宋_GB2312" w:cs="仿宋_GB2312"/>
          <w:color w:val="auto"/>
          <w:kern w:val="2"/>
          <w:sz w:val="32"/>
          <w:szCs w:val="32"/>
          <w:highlight w:val="none"/>
        </w:rPr>
        <w:t>对应的</w:t>
      </w:r>
      <w:r>
        <w:rPr>
          <w:rFonts w:hint="eastAsia" w:ascii="仿宋_GB2312" w:hAnsi="仿宋_GB2312" w:eastAsia="仿宋_GB2312" w:cs="仿宋_GB2312"/>
          <w:color w:val="auto"/>
          <w:kern w:val="2"/>
          <w:sz w:val="32"/>
          <w:szCs w:val="32"/>
          <w:highlight w:val="none"/>
          <w:lang w:val="en-US" w:eastAsia="zh-CN"/>
        </w:rPr>
        <w:t>图纸等</w:t>
      </w:r>
      <w:r>
        <w:rPr>
          <w:rFonts w:hint="eastAsia" w:ascii="仿宋_GB2312" w:hAnsi="仿宋_GB2312" w:eastAsia="仿宋_GB2312" w:cs="仿宋_GB2312"/>
          <w:color w:val="auto"/>
          <w:kern w:val="2"/>
          <w:sz w:val="32"/>
          <w:szCs w:val="32"/>
          <w:highlight w:val="none"/>
        </w:rPr>
        <w:t>】技术资料和工作条件，或提供技术资料不准确，导致</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无法按期完成并提交</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的，</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有权按延误的时间予以顺延。</w:t>
      </w:r>
    </w:p>
    <w:p w14:paraId="55E38537">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因故要求中途中止或终止合同时，应及时书面通知</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w:t>
      </w:r>
    </w:p>
    <w:p w14:paraId="39CC9B59">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（3）项目公司</w:t>
      </w:r>
      <w:r>
        <w:rPr>
          <w:rFonts w:hint="eastAsia" w:ascii="仿宋_GB2312" w:hAnsi="仿宋_GB2312" w:eastAsia="仿宋_GB2312" w:cs="仿宋_GB2312"/>
          <w:color w:val="auto"/>
          <w:kern w:val="2"/>
          <w:sz w:val="32"/>
          <w:szCs w:val="32"/>
          <w:highlight w:val="none"/>
        </w:rPr>
        <w:t>未在约定时间内支付本合同费用的，从应付合同费用最后一日的次日起计算，每延误一天，向</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按应付费用的</w:t>
      </w:r>
      <w:r>
        <w:rPr>
          <w:rFonts w:hint="eastAsia" w:ascii="仿宋_GB2312" w:hAnsi="仿宋_GB2312" w:eastAsia="仿宋_GB2312" w:cs="仿宋_GB2312"/>
          <w:color w:val="auto"/>
          <w:kern w:val="2"/>
          <w:sz w:val="32"/>
          <w:szCs w:val="32"/>
          <w:highlight w:val="none"/>
          <w:lang w:val="en-US" w:eastAsia="zh-CN"/>
        </w:rPr>
        <w:t>万</w:t>
      </w:r>
      <w:r>
        <w:rPr>
          <w:rFonts w:hint="eastAsia" w:ascii="仿宋_GB2312" w:hAnsi="仿宋_GB2312" w:eastAsia="仿宋_GB2312" w:cs="仿宋_GB2312"/>
          <w:color w:val="auto"/>
          <w:kern w:val="2"/>
          <w:sz w:val="32"/>
          <w:szCs w:val="32"/>
          <w:highlight w:val="none"/>
        </w:rPr>
        <w:t>分之</w:t>
      </w:r>
      <w:r>
        <w:rPr>
          <w:rFonts w:hint="eastAsia" w:ascii="仿宋_GB2312" w:hAnsi="仿宋_GB2312" w:eastAsia="仿宋_GB2312" w:cs="仿宋_GB2312"/>
          <w:color w:val="auto"/>
          <w:kern w:val="2"/>
          <w:sz w:val="32"/>
          <w:szCs w:val="32"/>
          <w:highlight w:val="none"/>
          <w:lang w:val="en-US" w:eastAsia="zh-CN"/>
        </w:rPr>
        <w:t>一</w:t>
      </w:r>
      <w:r>
        <w:rPr>
          <w:rFonts w:hint="eastAsia" w:ascii="仿宋_GB2312" w:hAnsi="仿宋_GB2312" w:eastAsia="仿宋_GB2312" w:cs="仿宋_GB2312"/>
          <w:color w:val="auto"/>
          <w:kern w:val="2"/>
          <w:sz w:val="32"/>
          <w:szCs w:val="32"/>
          <w:highlight w:val="none"/>
        </w:rPr>
        <w:t>支付违约金，</w:t>
      </w:r>
      <w:r>
        <w:rPr>
          <w:rFonts w:hint="eastAsia" w:ascii="仿宋_GB2312" w:hAnsi="仿宋_GB2312" w:eastAsia="仿宋_GB2312" w:cs="仿宋_GB2312"/>
          <w:color w:val="auto"/>
          <w:kern w:val="2"/>
          <w:sz w:val="32"/>
          <w:szCs w:val="32"/>
          <w:highlight w:val="none"/>
          <w:lang w:val="en-US" w:eastAsia="zh-CN"/>
        </w:rPr>
        <w:t>项目公司</w:t>
      </w:r>
      <w:r>
        <w:rPr>
          <w:rFonts w:hint="eastAsia" w:ascii="仿宋_GB2312" w:hAnsi="仿宋_GB2312" w:eastAsia="仿宋_GB2312" w:cs="仿宋_GB2312"/>
          <w:color w:val="auto"/>
          <w:kern w:val="2"/>
          <w:sz w:val="32"/>
          <w:szCs w:val="32"/>
          <w:highlight w:val="none"/>
        </w:rPr>
        <w:t>支付的违约金、赔偿金、利息等总额不超过</w:t>
      </w:r>
      <w:r>
        <w:rPr>
          <w:rFonts w:hint="eastAsia" w:ascii="仿宋_GB2312" w:hAnsi="仿宋_GB2312" w:eastAsia="仿宋_GB2312" w:cs="仿宋_GB2312"/>
          <w:color w:val="auto"/>
          <w:sz w:val="32"/>
          <w:szCs w:val="32"/>
          <w:highlight w:val="none"/>
          <w:lang w:eastAsia="zh-CN"/>
        </w:rPr>
        <w:t>合同暂定含税总价</w:t>
      </w:r>
      <w:r>
        <w:rPr>
          <w:rFonts w:hint="eastAsia" w:ascii="仿宋_GB2312" w:hAnsi="仿宋_GB2312" w:eastAsia="仿宋_GB2312" w:cs="仿宋_GB2312"/>
          <w:color w:val="auto"/>
          <w:kern w:val="2"/>
          <w:sz w:val="32"/>
          <w:szCs w:val="32"/>
          <w:highlight w:val="none"/>
        </w:rPr>
        <w:t>的5%。</w:t>
      </w:r>
    </w:p>
    <w:p w14:paraId="487558DD">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楷体" w:hAnsi="楷体" w:eastAsia="楷体" w:cs="楷体"/>
          <w:color w:val="auto"/>
          <w:kern w:val="2"/>
          <w:sz w:val="32"/>
          <w:szCs w:val="32"/>
          <w:highlight w:val="none"/>
        </w:rPr>
      </w:pPr>
      <w:r>
        <w:rPr>
          <w:rFonts w:hint="eastAsia" w:ascii="楷体" w:hAnsi="楷体" w:eastAsia="楷体" w:cs="楷体"/>
          <w:color w:val="auto"/>
          <w:kern w:val="2"/>
          <w:sz w:val="32"/>
          <w:szCs w:val="32"/>
          <w:highlight w:val="none"/>
          <w:lang w:val="en-US" w:eastAsia="zh-CN"/>
        </w:rPr>
        <w:t>2.</w:t>
      </w:r>
      <w:r>
        <w:rPr>
          <w:rFonts w:hint="eastAsia" w:ascii="楷体" w:hAnsi="楷体" w:eastAsia="楷体" w:cs="楷体"/>
          <w:color w:val="auto"/>
          <w:kern w:val="2"/>
          <w:sz w:val="32"/>
          <w:szCs w:val="32"/>
          <w:highlight w:val="none"/>
          <w:lang w:eastAsia="zh-CN"/>
        </w:rPr>
        <w:t>乙方</w:t>
      </w:r>
      <w:r>
        <w:rPr>
          <w:rFonts w:hint="eastAsia" w:ascii="楷体" w:hAnsi="楷体" w:eastAsia="楷体" w:cs="楷体"/>
          <w:color w:val="auto"/>
          <w:kern w:val="2"/>
          <w:sz w:val="32"/>
          <w:szCs w:val="32"/>
          <w:highlight w:val="none"/>
        </w:rPr>
        <w:t>的违约责任</w:t>
      </w:r>
    </w:p>
    <w:p w14:paraId="79DD94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1</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未按合同约定日期提交</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时或未能在本合同解除、终止或履行完毕后，将</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提供的所有保密信息返还给</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，或依</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要求而销毁的，</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应从逾期提交之日或</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要求返还、销毁的次日起计算，每延误一天，向</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支付</w:t>
      </w:r>
      <w:r>
        <w:rPr>
          <w:rFonts w:hint="eastAsia" w:ascii="仿宋_GB2312" w:hAnsi="仿宋_GB2312" w:eastAsia="仿宋_GB2312" w:cs="仿宋_GB2312"/>
          <w:color w:val="auto"/>
          <w:kern w:val="2"/>
          <w:sz w:val="32"/>
          <w:szCs w:val="32"/>
          <w:highlight w:val="none"/>
          <w:lang w:eastAsia="zh-CN"/>
        </w:rPr>
        <w:t>合同暂定含税总价</w:t>
      </w:r>
      <w:r>
        <w:rPr>
          <w:rFonts w:hint="eastAsia" w:ascii="仿宋_GB2312" w:hAnsi="仿宋_GB2312" w:eastAsia="仿宋_GB2312" w:cs="仿宋_GB2312"/>
          <w:color w:val="auto"/>
          <w:kern w:val="2"/>
          <w:sz w:val="32"/>
          <w:szCs w:val="32"/>
          <w:highlight w:val="none"/>
        </w:rPr>
        <w:t>千分之三作为违约金。</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提交</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sz w:val="32"/>
          <w:szCs w:val="32"/>
          <w:highlight w:val="none"/>
        </w:rPr>
        <w:t>逾期超过10天的，</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有权要求</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返还已支付的费用并解除本合同及接管现场，且委托另一家服务单位继续工作，</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应向</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支付</w:t>
      </w:r>
      <w:r>
        <w:rPr>
          <w:rFonts w:hint="eastAsia" w:ascii="仿宋_GB2312" w:hAnsi="仿宋_GB2312" w:eastAsia="仿宋_GB2312" w:cs="仿宋_GB2312"/>
          <w:color w:val="auto"/>
          <w:sz w:val="32"/>
          <w:szCs w:val="32"/>
          <w:highlight w:val="none"/>
          <w:lang w:eastAsia="zh-CN"/>
        </w:rPr>
        <w:t>合同暂定含税总价</w:t>
      </w:r>
      <w:r>
        <w:rPr>
          <w:rFonts w:hint="eastAsia" w:ascii="仿宋_GB2312" w:hAnsi="仿宋_GB2312" w:eastAsia="仿宋_GB2312" w:cs="仿宋_GB2312"/>
          <w:color w:val="auto"/>
          <w:sz w:val="32"/>
          <w:szCs w:val="32"/>
          <w:highlight w:val="none"/>
        </w:rPr>
        <w:t>5%的违约金，且配合</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的一切安排并负责赔偿</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的全部损失。</w:t>
      </w:r>
    </w:p>
    <w:p w14:paraId="6E6919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提交的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rPr>
        <w:t>出现纰漏、错误或故意、重大过失，或提供错误、不合格信息而导致</w:t>
      </w:r>
      <w:r>
        <w:rPr>
          <w:rFonts w:hint="eastAsia" w:ascii="仿宋_GB2312" w:hAnsi="仿宋_GB2312" w:eastAsia="仿宋_GB2312" w:cs="仿宋_GB2312"/>
          <w:color w:val="auto"/>
          <w:sz w:val="32"/>
          <w:szCs w:val="32"/>
          <w:highlight w:val="none"/>
        </w:rPr>
        <w:t>本项目或</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损失的</w:t>
      </w:r>
      <w:r>
        <w:rPr>
          <w:rFonts w:hint="eastAsia" w:hAnsi="仿宋_GB2312" w:eastAsia="仿宋_GB2312" w:cs="仿宋_GB2312"/>
          <w:color w:val="auto"/>
          <w:kern w:val="2"/>
          <w:sz w:val="32"/>
          <w:szCs w:val="32"/>
          <w:highlight w:val="none"/>
          <w:lang w:eastAsia="zh-CN"/>
        </w:rPr>
        <w:t>，除</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有责任采取补救措施外，</w:t>
      </w:r>
      <w:r>
        <w:rPr>
          <w:rFonts w:hint="eastAsia" w:ascii="仿宋_GB2312" w:hAnsi="仿宋_GB2312" w:eastAsia="仿宋_GB2312" w:cs="仿宋_GB2312"/>
          <w:color w:val="auto"/>
          <w:sz w:val="32"/>
          <w:szCs w:val="32"/>
          <w:highlight w:val="none"/>
        </w:rPr>
        <w:t>仍需向</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返还已支付的费用，</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应向</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支付</w:t>
      </w:r>
      <w:r>
        <w:rPr>
          <w:rFonts w:hint="eastAsia" w:ascii="仿宋_GB2312" w:hAnsi="仿宋_GB2312" w:eastAsia="仿宋_GB2312" w:cs="仿宋_GB2312"/>
          <w:color w:val="auto"/>
          <w:sz w:val="32"/>
          <w:szCs w:val="32"/>
          <w:highlight w:val="none"/>
          <w:lang w:eastAsia="zh-CN"/>
        </w:rPr>
        <w:t>合同暂定含税总价</w:t>
      </w:r>
      <w:r>
        <w:rPr>
          <w:rFonts w:hint="eastAsia" w:ascii="仿宋_GB2312" w:hAnsi="仿宋_GB2312" w:eastAsia="仿宋_GB2312" w:cs="仿宋_GB2312"/>
          <w:color w:val="auto"/>
          <w:sz w:val="32"/>
          <w:szCs w:val="32"/>
          <w:highlight w:val="none"/>
        </w:rPr>
        <w:t>5%的违约金</w:t>
      </w:r>
      <w:r>
        <w:rPr>
          <w:rFonts w:hint="eastAsia"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并且</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有权解除本合同及接管现场，且委托另一家服务单位继续工作，</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应配合</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的一切安排并</w:t>
      </w:r>
      <w:r>
        <w:rPr>
          <w:rFonts w:hint="eastAsia" w:hAnsi="仿宋_GB2312" w:eastAsia="仿宋_GB2312" w:cs="仿宋_GB2312"/>
          <w:color w:val="auto"/>
          <w:sz w:val="32"/>
          <w:szCs w:val="32"/>
          <w:highlight w:val="none"/>
          <w:lang w:val="en-US" w:eastAsia="zh-CN"/>
        </w:rPr>
        <w:t>依法赔偿对甲方造成的损失</w:t>
      </w:r>
      <w:r>
        <w:rPr>
          <w:rFonts w:hint="eastAsia" w:ascii="仿宋_GB2312" w:hAnsi="仿宋_GB2312" w:eastAsia="仿宋_GB2312" w:cs="仿宋_GB2312"/>
          <w:color w:val="auto"/>
          <w:sz w:val="32"/>
          <w:szCs w:val="32"/>
          <w:highlight w:val="none"/>
        </w:rPr>
        <w:t>。</w:t>
      </w:r>
    </w:p>
    <w:p w14:paraId="7C94A6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因</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出现下列情形的，</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有权要求</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返还已支付费用并解除本合同及接管现场，</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应向</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支付</w:t>
      </w:r>
      <w:r>
        <w:rPr>
          <w:rFonts w:hint="eastAsia" w:ascii="仿宋_GB2312" w:hAnsi="仿宋_GB2312" w:eastAsia="仿宋_GB2312" w:cs="仿宋_GB2312"/>
          <w:color w:val="auto"/>
          <w:sz w:val="32"/>
          <w:szCs w:val="32"/>
          <w:highlight w:val="none"/>
          <w:lang w:eastAsia="zh-CN"/>
        </w:rPr>
        <w:t>合同暂定含税总价</w:t>
      </w:r>
      <w:r>
        <w:rPr>
          <w:rFonts w:hint="eastAsia" w:ascii="仿宋_GB2312" w:hAnsi="仿宋_GB2312" w:eastAsia="仿宋_GB2312" w:cs="仿宋_GB2312"/>
          <w:color w:val="auto"/>
          <w:sz w:val="32"/>
          <w:szCs w:val="32"/>
          <w:highlight w:val="none"/>
        </w:rPr>
        <w:t>5%的违约金</w:t>
      </w:r>
      <w:r>
        <w:rPr>
          <w:rFonts w:hint="eastAsia"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且委托另一家服务单位继续工作，</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应配合</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的一切安排并</w:t>
      </w:r>
      <w:r>
        <w:rPr>
          <w:rFonts w:hint="eastAsia" w:hAnsi="仿宋_GB2312" w:eastAsia="仿宋_GB2312" w:cs="仿宋_GB2312"/>
          <w:color w:val="auto"/>
          <w:sz w:val="32"/>
          <w:szCs w:val="32"/>
          <w:highlight w:val="none"/>
          <w:lang w:val="en-US" w:eastAsia="zh-CN"/>
        </w:rPr>
        <w:t>依法赔偿对甲方造成的损失</w:t>
      </w:r>
      <w:r>
        <w:rPr>
          <w:rFonts w:hint="eastAsia" w:ascii="仿宋_GB2312" w:hAnsi="仿宋_GB2312" w:eastAsia="仿宋_GB2312" w:cs="仿宋_GB2312"/>
          <w:color w:val="auto"/>
          <w:sz w:val="32"/>
          <w:szCs w:val="32"/>
          <w:highlight w:val="none"/>
        </w:rPr>
        <w:t>。</w:t>
      </w:r>
    </w:p>
    <w:p w14:paraId="5E55FA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未经</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书面同意，转让本合同权利义务，或委托他方代为或参与履行本合同的（包括但不限于转包、分包行为）；</w:t>
      </w:r>
    </w:p>
    <w:p w14:paraId="51EB2B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2）与</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或项目关联方等单位发生不正当利益输送的；</w:t>
      </w:r>
    </w:p>
    <w:p w14:paraId="24663B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不具备提供本合同项下服务的资质或授权的；</w:t>
      </w:r>
    </w:p>
    <w:p w14:paraId="666F40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提交的</w:t>
      </w:r>
      <w:r>
        <w:rPr>
          <w:rFonts w:hint="eastAsia" w:hAnsi="仿宋_GB2312" w:eastAsia="仿宋_GB2312" w:cs="仿宋_GB2312"/>
          <w:color w:val="auto"/>
          <w:kern w:val="2"/>
          <w:sz w:val="32"/>
          <w:szCs w:val="32"/>
          <w:highlight w:val="none"/>
          <w:lang w:val="en-US" w:eastAsia="zh-CN"/>
        </w:rPr>
        <w:t>评估</w:t>
      </w:r>
      <w:r>
        <w:rPr>
          <w:rFonts w:hint="eastAsia" w:ascii="仿宋_GB2312" w:hAnsi="仿宋_GB2312" w:eastAsia="仿宋_GB2312" w:cs="仿宋_GB2312"/>
          <w:color w:val="auto"/>
          <w:kern w:val="2"/>
          <w:sz w:val="32"/>
          <w:szCs w:val="32"/>
          <w:highlight w:val="none"/>
          <w:lang w:val="en-US" w:eastAsia="zh-CN"/>
        </w:rPr>
        <w:t>报告</w:t>
      </w:r>
      <w:r>
        <w:rPr>
          <w:rFonts w:hint="eastAsia" w:ascii="仿宋_GB2312" w:hAnsi="仿宋_GB2312" w:eastAsia="仿宋_GB2312" w:cs="仿宋_GB2312"/>
          <w:color w:val="auto"/>
          <w:kern w:val="2"/>
          <w:sz w:val="32"/>
          <w:szCs w:val="32"/>
          <w:highlight w:val="none"/>
          <w:lang w:eastAsia="zh-CN"/>
        </w:rPr>
        <w:t>经第三方权威鉴定机构鉴定后认为</w:t>
      </w:r>
      <w:r>
        <w:rPr>
          <w:rFonts w:hint="eastAsia" w:ascii="仿宋_GB2312" w:hAnsi="仿宋_GB2312" w:eastAsia="仿宋_GB2312" w:cs="仿宋_GB2312"/>
          <w:color w:val="auto"/>
          <w:kern w:val="2"/>
          <w:sz w:val="32"/>
          <w:szCs w:val="32"/>
          <w:highlight w:val="none"/>
        </w:rPr>
        <w:t>违反法律、法规及</w:t>
      </w:r>
      <w:r>
        <w:rPr>
          <w:rFonts w:hint="eastAsia" w:ascii="仿宋_GB2312" w:hAnsi="仿宋_GB2312" w:eastAsia="仿宋_GB2312" w:cs="仿宋_GB2312"/>
          <w:color w:val="auto"/>
          <w:sz w:val="32"/>
          <w:szCs w:val="32"/>
          <w:highlight w:val="none"/>
        </w:rPr>
        <w:t>现行国家、地区及行业有关规范和标准或</w:t>
      </w:r>
      <w:r>
        <w:rPr>
          <w:rFonts w:hint="eastAsia" w:ascii="仿宋_GB2312" w:hAnsi="仿宋_GB2312" w:eastAsia="仿宋_GB2312" w:cs="仿宋_GB2312"/>
          <w:color w:val="auto"/>
          <w:kern w:val="2"/>
          <w:sz w:val="32"/>
          <w:szCs w:val="32"/>
          <w:highlight w:val="none"/>
        </w:rPr>
        <w:t>侵犯任何第三方权利的；</w:t>
      </w:r>
    </w:p>
    <w:p w14:paraId="7BACB7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）本合同因</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的原因提前终止、解除或无法履行的。</w:t>
      </w:r>
    </w:p>
    <w:p w14:paraId="02F5C6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4</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的上述违约行为给</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造成的全部损失范围包括但不限于</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的名誉损失、直接损失和可得利益的损失，以及诉讼费、保全费、</w:t>
      </w:r>
      <w:r>
        <w:rPr>
          <w:rFonts w:hint="eastAsia" w:hAnsi="仿宋_GB2312" w:eastAsia="仿宋_GB2312" w:cs="仿宋_GB2312"/>
          <w:color w:val="auto"/>
          <w:kern w:val="2"/>
          <w:sz w:val="32"/>
          <w:szCs w:val="32"/>
          <w:highlight w:val="none"/>
          <w:lang w:val="en-US" w:eastAsia="zh-CN"/>
        </w:rPr>
        <w:t>保全保险费、</w:t>
      </w:r>
      <w:r>
        <w:rPr>
          <w:rFonts w:hint="eastAsia" w:ascii="仿宋_GB2312" w:hAnsi="仿宋_GB2312" w:eastAsia="仿宋_GB2312" w:cs="仿宋_GB2312"/>
          <w:color w:val="auto"/>
          <w:kern w:val="2"/>
          <w:sz w:val="32"/>
          <w:szCs w:val="32"/>
          <w:highlight w:val="none"/>
        </w:rPr>
        <w:t>评估费、鉴定费、调查费、公证费、律师费，以及向第三方支付的赔偿、为应对第三方的指控而支付的一切费用等。</w:t>
      </w:r>
    </w:p>
    <w:p w14:paraId="25688C11">
      <w:pPr>
        <w:spacing w:line="560" w:lineRule="exact"/>
        <w:ind w:firstLine="640" w:firstLineChars="200"/>
        <w:rPr>
          <w:rFonts w:hint="eastAsia"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5</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因</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原因导致</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受到任何第三方权利主张或者索赔的，由</w:t>
      </w:r>
      <w:r>
        <w:rPr>
          <w:rFonts w:hint="eastAsia" w:ascii="仿宋_GB2312" w:hAnsi="仿宋_GB2312" w:eastAsia="仿宋_GB2312" w:cs="仿宋_GB2312"/>
          <w:color w:val="auto"/>
          <w:kern w:val="2"/>
          <w:sz w:val="32"/>
          <w:szCs w:val="32"/>
          <w:highlight w:val="none"/>
          <w:lang w:eastAsia="zh-CN"/>
        </w:rPr>
        <w:t>乙方</w:t>
      </w:r>
      <w:r>
        <w:rPr>
          <w:rFonts w:hint="eastAsia" w:ascii="仿宋_GB2312" w:hAnsi="仿宋_GB2312" w:eastAsia="仿宋_GB2312" w:cs="仿宋_GB2312"/>
          <w:color w:val="auto"/>
          <w:kern w:val="2"/>
          <w:sz w:val="32"/>
          <w:szCs w:val="32"/>
          <w:highlight w:val="none"/>
        </w:rPr>
        <w:t>承担</w:t>
      </w:r>
      <w:r>
        <w:rPr>
          <w:rFonts w:hint="eastAsia" w:ascii="仿宋_GB2312" w:hAnsi="仿宋_GB2312" w:eastAsia="仿宋_GB2312" w:cs="仿宋_GB2312"/>
          <w:color w:val="auto"/>
          <w:kern w:val="2"/>
          <w:sz w:val="32"/>
          <w:szCs w:val="32"/>
          <w:highlight w:val="none"/>
          <w:lang w:eastAsia="zh-CN"/>
        </w:rPr>
        <w:t>甲方</w:t>
      </w:r>
      <w:r>
        <w:rPr>
          <w:rFonts w:hint="eastAsia" w:ascii="仿宋_GB2312" w:hAnsi="仿宋_GB2312" w:eastAsia="仿宋_GB2312" w:cs="仿宋_GB2312"/>
          <w:color w:val="auto"/>
          <w:kern w:val="2"/>
          <w:sz w:val="32"/>
          <w:szCs w:val="32"/>
          <w:highlight w:val="none"/>
        </w:rPr>
        <w:t>应对该等主张或索赔所需支出的包括但不限于违约金、赔偿金、诉讼费、律师费等一切费用。</w:t>
      </w:r>
    </w:p>
    <w:p w14:paraId="37A65C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黑体" w:hAnsi="黑体" w:eastAsia="黑体" w:cs="黑体"/>
          <w:b w:val="0"/>
          <w:bCs w:val="0"/>
          <w:color w:val="auto"/>
          <w:kern w:val="2"/>
          <w:sz w:val="32"/>
          <w:szCs w:val="32"/>
          <w:highlight w:val="none"/>
        </w:rPr>
        <w:t>十</w:t>
      </w:r>
      <w:r>
        <w:rPr>
          <w:rFonts w:hint="eastAsia" w:ascii="黑体" w:hAnsi="黑体" w:eastAsia="黑体" w:cs="黑体"/>
          <w:b w:val="0"/>
          <w:bCs w:val="0"/>
          <w:color w:val="auto"/>
          <w:kern w:val="2"/>
          <w:sz w:val="32"/>
          <w:szCs w:val="32"/>
          <w:highlight w:val="none"/>
          <w:lang w:val="en-US" w:eastAsia="zh-CN"/>
        </w:rPr>
        <w:t>一</w:t>
      </w:r>
      <w:r>
        <w:rPr>
          <w:rFonts w:hint="eastAsia" w:ascii="黑体" w:hAnsi="黑体" w:eastAsia="黑体" w:cs="黑体"/>
          <w:b w:val="0"/>
          <w:bCs w:val="0"/>
          <w:color w:val="auto"/>
          <w:kern w:val="2"/>
          <w:sz w:val="32"/>
          <w:szCs w:val="32"/>
          <w:highlight w:val="none"/>
          <w:lang w:eastAsia="zh-CN"/>
        </w:rPr>
        <w:t>、</w:t>
      </w:r>
      <w:r>
        <w:rPr>
          <w:rFonts w:hint="eastAsia" w:ascii="黑体" w:hAnsi="黑体" w:eastAsia="黑体" w:cs="黑体"/>
          <w:b w:val="0"/>
          <w:bCs w:val="0"/>
          <w:color w:val="auto"/>
          <w:kern w:val="2"/>
          <w:sz w:val="32"/>
          <w:szCs w:val="32"/>
          <w:highlight w:val="none"/>
        </w:rPr>
        <w:t>通知与送达</w:t>
      </w:r>
    </w:p>
    <w:p w14:paraId="2F14DEF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1.甲乙双方确认各自的合法有效送达地址及联系方式如下</w:t>
      </w:r>
      <w:r>
        <w:rPr>
          <w:rFonts w:hint="eastAsia" w:hAnsi="仿宋_GB2312" w:eastAsia="仿宋_GB2312" w:cs="仿宋_GB2312"/>
          <w:color w:val="auto"/>
          <w:sz w:val="32"/>
          <w:szCs w:val="32"/>
          <w:highlight w:val="none"/>
          <w:lang w:eastAsia="zh-CN"/>
        </w:rPr>
        <w:t>（在</w:t>
      </w:r>
      <w:r>
        <w:rPr>
          <w:rFonts w:hint="eastAsia" w:ascii="仿宋_GB2312" w:hAnsi="仿宋_GB2312" w:eastAsia="仿宋_GB2312" w:cs="仿宋_GB2312"/>
          <w:color w:val="auto"/>
          <w:sz w:val="32"/>
          <w:szCs w:val="32"/>
          <w:highlight w:val="none"/>
        </w:rPr>
        <w:t>合同履行及争议解决过程中均可按照下列方式进行送达）：</w:t>
      </w:r>
    </w:p>
    <w:p w14:paraId="781F4FF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甲方：海口市君实综合开发有限责任公司</w:t>
      </w:r>
    </w:p>
    <w:p w14:paraId="2C22639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送达地址：海南省海口市江东新区江东大道202号江东发展大厦C座2层</w:t>
      </w:r>
    </w:p>
    <w:p w14:paraId="4DDFE867">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收件人：</w:t>
      </w:r>
      <w:r>
        <w:rPr>
          <w:rFonts w:hint="eastAsia" w:hAnsi="仿宋_GB2312" w:eastAsia="仿宋_GB2312" w:cs="仿宋_GB2312"/>
          <w:color w:val="auto"/>
          <w:sz w:val="32"/>
          <w:szCs w:val="32"/>
          <w:highlight w:val="none"/>
          <w:lang w:val="en-US" w:eastAsia="zh-CN"/>
        </w:rPr>
        <w:t>韩</w:t>
      </w:r>
      <w:r>
        <w:rPr>
          <w:rFonts w:hint="eastAsia" w:ascii="仿宋_GB2312" w:hAnsi="仿宋_GB2312" w:eastAsia="仿宋_GB2312" w:cs="仿宋_GB2312"/>
          <w:color w:val="auto"/>
          <w:sz w:val="32"/>
          <w:szCs w:val="32"/>
          <w:highlight w:val="none"/>
        </w:rPr>
        <w:t>女士</w:t>
      </w:r>
    </w:p>
    <w:p w14:paraId="05C169DA">
      <w:pPr>
        <w:spacing w:line="56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联系方式：</w:t>
      </w:r>
      <w:r>
        <w:rPr>
          <w:rFonts w:hint="eastAsia" w:hAnsi="仿宋_GB2312" w:eastAsia="仿宋_GB2312" w:cs="仿宋_GB2312"/>
          <w:color w:val="auto"/>
          <w:sz w:val="32"/>
          <w:szCs w:val="32"/>
          <w:highlight w:val="none"/>
          <w:lang w:val="en-US" w:eastAsia="zh-CN"/>
        </w:rPr>
        <w:t>18889674467</w:t>
      </w:r>
    </w:p>
    <w:p w14:paraId="0E4D37B9">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w:t>
      </w:r>
    </w:p>
    <w:p w14:paraId="5F1667F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送达地址：</w:t>
      </w:r>
    </w:p>
    <w:p w14:paraId="681ADB17">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收件人：</w:t>
      </w:r>
    </w:p>
    <w:p w14:paraId="7A67161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联系方式：</w:t>
      </w:r>
    </w:p>
    <w:p w14:paraId="37C3EFDE">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一方变更名称、地址、联系人或联系方式的，应当在变更后[2]日内及时书面通知对方当事人，对方当事人实际收到变更通知前的送达仍为有效送达，电子送达与书面送达具有同等法律效力。变更方未及时通知的，对方当事人按照变更前的信息进行送达的仍视为有效送达，因此产生的不利后果由变更方承担。</w:t>
      </w:r>
    </w:p>
    <w:p w14:paraId="607E680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一方向另一方送达文件，以被送达方的签收日期作为送达日期。通过快递方式送达的，以快递签收日期为送达日期。被送达方拒收或无法送达的，由交邮后第7日视为已经送达。通过电子文件送达的，自前述电子文件内容在发送方正确填写地址且被系统退回的情况下，自文件进入对方数据电文接收系统即视为送达，若送达日为非工作日，则在下一个工作日视为已经送达。</w:t>
      </w:r>
    </w:p>
    <w:p w14:paraId="4E28B50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4.本条款为独立</w:t>
      </w:r>
      <w:r>
        <w:rPr>
          <w:rFonts w:hint="eastAsia" w:hAnsi="仿宋_GB2312" w:eastAsia="仿宋_GB2312" w:cs="仿宋_GB2312"/>
          <w:color w:val="auto"/>
          <w:sz w:val="32"/>
          <w:szCs w:val="32"/>
          <w:highlight w:val="none"/>
          <w:lang w:eastAsia="zh-CN"/>
        </w:rPr>
        <w:t>条款</w:t>
      </w:r>
      <w:r>
        <w:rPr>
          <w:rFonts w:hint="eastAsia" w:ascii="仿宋_GB2312" w:hAnsi="仿宋_GB2312" w:eastAsia="仿宋_GB2312" w:cs="仿宋_GB2312"/>
          <w:color w:val="auto"/>
          <w:sz w:val="32"/>
          <w:szCs w:val="32"/>
          <w:highlight w:val="none"/>
        </w:rPr>
        <w:t>，不受合同整体或其他条款的效力的影响，始终有效。</w:t>
      </w:r>
    </w:p>
    <w:p w14:paraId="303B1B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rPr>
        <w:t>十</w:t>
      </w:r>
      <w:r>
        <w:rPr>
          <w:rFonts w:hint="eastAsia" w:ascii="黑体" w:hAnsi="黑体" w:eastAsia="黑体" w:cs="黑体"/>
          <w:b w:val="0"/>
          <w:bCs w:val="0"/>
          <w:color w:val="auto"/>
          <w:kern w:val="2"/>
          <w:sz w:val="32"/>
          <w:szCs w:val="32"/>
          <w:highlight w:val="none"/>
          <w:lang w:val="en-US" w:eastAsia="zh-CN"/>
        </w:rPr>
        <w:t>二</w:t>
      </w:r>
      <w:r>
        <w:rPr>
          <w:rFonts w:hint="eastAsia" w:ascii="黑体" w:hAnsi="黑体" w:eastAsia="黑体" w:cs="黑体"/>
          <w:b w:val="0"/>
          <w:bCs w:val="0"/>
          <w:color w:val="auto"/>
          <w:kern w:val="2"/>
          <w:sz w:val="32"/>
          <w:szCs w:val="32"/>
          <w:highlight w:val="none"/>
          <w:lang w:eastAsia="zh-CN"/>
        </w:rPr>
        <w:t>、</w:t>
      </w:r>
      <w:r>
        <w:rPr>
          <w:rFonts w:hint="eastAsia" w:ascii="黑体" w:hAnsi="黑体" w:eastAsia="黑体" w:cs="黑体"/>
          <w:b w:val="0"/>
          <w:bCs w:val="0"/>
          <w:color w:val="auto"/>
          <w:kern w:val="2"/>
          <w:sz w:val="32"/>
          <w:szCs w:val="32"/>
          <w:highlight w:val="none"/>
        </w:rPr>
        <w:t>不可抗力</w:t>
      </w:r>
    </w:p>
    <w:p w14:paraId="05FE71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发生不可抗力事件，一方在本合同项下受不可抗力影响的义务在不可抗力造成的延误期间自动中止，其履行期限应自动延长，延长期间为中止的期间，该方无须为此承担违约责任。如果发生不可抗力事件，致使不能实现合同目的的，双方均可以解除合同，自解除合同的书面通知到达对方时合同解除，双方均不需向对方承担违约责任。</w:t>
      </w:r>
    </w:p>
    <w:p w14:paraId="6D6262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提出受不可抗力影响的一方应在不可抗力事件发生后【24】小时内及时书面通知对方，并且在随后的5日内向对方提供不可抗力发生和持续期间的充分证据。提出受不可抗力影响的一方，还应尽一切合理努力排除不可抗力对履行合同造成的影响。否则，未受影响一方有权向该方请求赔偿。</w:t>
      </w:r>
    </w:p>
    <w:p w14:paraId="0A5326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发生不可抗力的，双方应立即进行磋商，寻求合理的解决方案，并且要尽一切合理努力将不可抗力造成的损失降低到</w:t>
      </w:r>
      <w:r>
        <w:rPr>
          <w:rFonts w:hint="eastAsia" w:hAnsi="仿宋_GB2312" w:eastAsia="仿宋_GB2312" w:cs="仿宋_GB2312"/>
          <w:color w:val="auto"/>
          <w:kern w:val="2"/>
          <w:sz w:val="32"/>
          <w:szCs w:val="32"/>
          <w:highlight w:val="none"/>
          <w:lang w:eastAsia="zh-CN"/>
        </w:rPr>
        <w:t>最低</w:t>
      </w:r>
      <w:r>
        <w:rPr>
          <w:rFonts w:hint="eastAsia" w:ascii="仿宋_GB2312" w:hAnsi="仿宋_GB2312" w:eastAsia="仿宋_GB2312" w:cs="仿宋_GB2312"/>
          <w:color w:val="auto"/>
          <w:kern w:val="2"/>
          <w:sz w:val="32"/>
          <w:szCs w:val="32"/>
          <w:highlight w:val="none"/>
        </w:rPr>
        <w:t>程度。</w:t>
      </w:r>
    </w:p>
    <w:p w14:paraId="7412C4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rPr>
        <w:t>十</w:t>
      </w:r>
      <w:r>
        <w:rPr>
          <w:rFonts w:hint="eastAsia" w:ascii="黑体" w:hAnsi="黑体" w:eastAsia="黑体" w:cs="黑体"/>
          <w:b w:val="0"/>
          <w:bCs w:val="0"/>
          <w:color w:val="auto"/>
          <w:kern w:val="2"/>
          <w:sz w:val="32"/>
          <w:szCs w:val="32"/>
          <w:highlight w:val="none"/>
          <w:lang w:val="en-US" w:eastAsia="zh-CN"/>
        </w:rPr>
        <w:t>三</w:t>
      </w:r>
      <w:r>
        <w:rPr>
          <w:rFonts w:hint="eastAsia" w:ascii="黑体" w:hAnsi="黑体" w:eastAsia="黑体" w:cs="黑体"/>
          <w:b w:val="0"/>
          <w:bCs w:val="0"/>
          <w:color w:val="auto"/>
          <w:kern w:val="2"/>
          <w:sz w:val="32"/>
          <w:szCs w:val="32"/>
          <w:highlight w:val="none"/>
          <w:lang w:eastAsia="zh-CN"/>
        </w:rPr>
        <w:t>、</w:t>
      </w:r>
      <w:r>
        <w:rPr>
          <w:rFonts w:hint="eastAsia" w:ascii="黑体" w:hAnsi="黑体" w:eastAsia="黑体" w:cs="黑体"/>
          <w:b w:val="0"/>
          <w:bCs w:val="0"/>
          <w:color w:val="auto"/>
          <w:kern w:val="2"/>
          <w:sz w:val="32"/>
          <w:szCs w:val="32"/>
          <w:highlight w:val="none"/>
        </w:rPr>
        <w:t>争议的解决</w:t>
      </w:r>
    </w:p>
    <w:p w14:paraId="37A9E15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1.凡因本合同引起的或与本合同有关的任何争议，双方均应友好协商；协商不成的，任何一方均可向甲方所在地人民法院提起诉讼。</w:t>
      </w:r>
    </w:p>
    <w:p w14:paraId="1B3BC0C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2.合同有关争议解决的条款独立存在，合同的变更、解除、终止、无效或者被撤销均不影响其效力。在诉讼期间，除正在进行诉讼的部分外，合同</w:t>
      </w:r>
      <w:r>
        <w:rPr>
          <w:rFonts w:hint="eastAsia" w:hAnsi="仿宋_GB2312" w:eastAsia="仿宋_GB2312" w:cs="仿宋_GB2312"/>
          <w:color w:val="auto"/>
          <w:sz w:val="32"/>
          <w:szCs w:val="32"/>
          <w:highlight w:val="none"/>
          <w:lang w:eastAsia="zh-CN"/>
        </w:rPr>
        <w:t>其他部分</w:t>
      </w:r>
      <w:r>
        <w:rPr>
          <w:rFonts w:hint="eastAsia" w:ascii="仿宋_GB2312" w:hAnsi="仿宋_GB2312" w:eastAsia="仿宋_GB2312" w:cs="仿宋_GB2312"/>
          <w:color w:val="auto"/>
          <w:sz w:val="32"/>
          <w:szCs w:val="32"/>
          <w:highlight w:val="none"/>
        </w:rPr>
        <w:t>应继续执行。</w:t>
      </w:r>
    </w:p>
    <w:p w14:paraId="72B41E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rPr>
        <w:t>十</w:t>
      </w:r>
      <w:r>
        <w:rPr>
          <w:rFonts w:hint="eastAsia" w:ascii="黑体" w:hAnsi="黑体" w:eastAsia="黑体" w:cs="黑体"/>
          <w:b w:val="0"/>
          <w:bCs w:val="0"/>
          <w:color w:val="auto"/>
          <w:kern w:val="2"/>
          <w:sz w:val="32"/>
          <w:szCs w:val="32"/>
          <w:highlight w:val="none"/>
          <w:lang w:val="en-US" w:eastAsia="zh-CN"/>
        </w:rPr>
        <w:t>四</w:t>
      </w:r>
      <w:r>
        <w:rPr>
          <w:rFonts w:hint="eastAsia" w:ascii="黑体" w:hAnsi="黑体" w:eastAsia="黑体" w:cs="黑体"/>
          <w:b w:val="0"/>
          <w:bCs w:val="0"/>
          <w:color w:val="auto"/>
          <w:kern w:val="2"/>
          <w:sz w:val="32"/>
          <w:szCs w:val="32"/>
          <w:highlight w:val="none"/>
          <w:lang w:eastAsia="zh-CN"/>
        </w:rPr>
        <w:t>、</w:t>
      </w:r>
      <w:r>
        <w:rPr>
          <w:rFonts w:hint="eastAsia" w:ascii="黑体" w:hAnsi="黑体" w:eastAsia="黑体" w:cs="黑体"/>
          <w:b w:val="0"/>
          <w:bCs w:val="0"/>
          <w:color w:val="auto"/>
          <w:kern w:val="2"/>
          <w:sz w:val="32"/>
          <w:szCs w:val="32"/>
          <w:highlight w:val="none"/>
        </w:rPr>
        <w:t>其他</w:t>
      </w:r>
    </w:p>
    <w:p w14:paraId="54DC4C0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自各方法定代表人或其委托代理人签字并加盖公章/合同专用章之日起生效。如由委托代理人签订本合同，需提供法人授权委托书及法定代表人、委托代理人身份证明材料和身份证复印件，以上材料均需加盖</w:t>
      </w:r>
      <w:r>
        <w:rPr>
          <w:rFonts w:hint="eastAsia" w:hAnsi="仿宋_GB2312" w:eastAsia="仿宋_GB2312" w:cs="仿宋_GB2312"/>
          <w:color w:val="auto"/>
          <w:sz w:val="32"/>
          <w:szCs w:val="32"/>
          <w:highlight w:val="none"/>
          <w:lang w:val="en-US" w:eastAsia="zh-CN"/>
        </w:rPr>
        <w:t>公章</w:t>
      </w:r>
      <w:r>
        <w:rPr>
          <w:rFonts w:hint="eastAsia" w:ascii="仿宋_GB2312" w:hAnsi="仿宋_GB2312" w:eastAsia="仿宋_GB2312" w:cs="仿宋_GB2312"/>
          <w:color w:val="auto"/>
          <w:sz w:val="32"/>
          <w:szCs w:val="32"/>
          <w:highlight w:val="none"/>
        </w:rPr>
        <w:t>及法定代表人印章。</w:t>
      </w:r>
    </w:p>
    <w:p w14:paraId="59779D8F">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2.本合同未尽事宜，甲、乙双方可另行协商或签订补充协议，补充协议与本合同具有同等法律效力。若本合同与补充协议不一致的，以补充协议为准。</w:t>
      </w:r>
    </w:p>
    <w:p w14:paraId="58CF8E8F">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3.合同部分条款的无效，并不影响其他合同条款的效力。</w:t>
      </w:r>
    </w:p>
    <w:p w14:paraId="63EDF7F5">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4.本合同的附件是本合同不可分割的组成部分，与本合同具有同等法律效力。</w:t>
      </w:r>
    </w:p>
    <w:p w14:paraId="032BFF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5.乙方被有权机关或甲方、项目公司依据法律法规及行业规范认定为不符合资质的，本合同自始无效，不发生法律效力。如项目公司已支付费用的，乙方需于合同无效之日起3个工作日内，向项目公司无息全额退还。若乙方逾期未退还的，自逾期之日起按应退还金额的每日千分之三向项目公司支付违约金，直至实际退还之日止；若逾期超过10日历天的，甲方及项目公司有权要求乙方另行支付相当于合同暂定含税总价5%的违约金，并有权就因此遭受的全部损失向乙方主张赔偿。</w:t>
      </w:r>
    </w:p>
    <w:p w14:paraId="2D1875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6.合同履行期间，乙方在本项目外出现失信行为，且影响本合同履约的，甲方有权单方解除本合同，并有权依据本合同约定向乙方主张违约责任。</w:t>
      </w:r>
    </w:p>
    <w:p w14:paraId="49D14283">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7.本合同一式陆份，甲方执肆份，乙方执贰份，具有同等法律效力。</w:t>
      </w:r>
    </w:p>
    <w:p w14:paraId="7EAAD721">
      <w:pPr>
        <w:ind w:firstLine="0" w:firstLineChars="0"/>
        <w:rPr>
          <w:rFonts w:hint="eastAsia" w:ascii="仿宋_GB2312" w:hAnsi="仿宋_GB2312" w:eastAsia="仿宋_GB2312" w:cs="仿宋_GB2312"/>
          <w:b w:val="0"/>
          <w:bCs w:val="0"/>
          <w:color w:val="auto"/>
          <w:kern w:val="2"/>
          <w:sz w:val="32"/>
          <w:szCs w:val="32"/>
          <w:highlight w:val="none"/>
        </w:rPr>
      </w:pPr>
    </w:p>
    <w:p w14:paraId="2B9574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kern w:val="2"/>
          <w:sz w:val="32"/>
          <w:szCs w:val="32"/>
          <w:highlight w:val="none"/>
        </w:rPr>
        <w:t>附件</w:t>
      </w:r>
      <w:r>
        <w:rPr>
          <w:rFonts w:hint="eastAsia" w:ascii="仿宋_GB2312" w:hAnsi="仿宋_GB2312" w:eastAsia="仿宋_GB2312" w:cs="仿宋_GB2312"/>
          <w:b w:val="0"/>
          <w:bCs w:val="0"/>
          <w:color w:val="auto"/>
          <w:kern w:val="2"/>
          <w:sz w:val="32"/>
          <w:szCs w:val="32"/>
          <w:highlight w:val="none"/>
          <w:lang w:eastAsia="zh-CN"/>
        </w:rPr>
        <w:t>：</w:t>
      </w:r>
      <w:r>
        <w:rPr>
          <w:rFonts w:hint="eastAsia"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.廉政协议书</w:t>
      </w:r>
    </w:p>
    <w:p w14:paraId="5170D142">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color w:val="auto"/>
          <w:sz w:val="32"/>
          <w:szCs w:val="32"/>
          <w:highlight w:val="none"/>
        </w:rPr>
      </w:pPr>
      <w:r>
        <w:rPr>
          <w:rFonts w:hint="eastAsia"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.保密承诺函</w:t>
      </w:r>
    </w:p>
    <w:p w14:paraId="2CD8ADF9">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color w:val="auto"/>
          <w:sz w:val="32"/>
          <w:szCs w:val="32"/>
          <w:highlight w:val="none"/>
        </w:rPr>
      </w:pPr>
      <w:r>
        <w:rPr>
          <w:rFonts w:hint="eastAsia"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.供应商信用承诺函</w:t>
      </w:r>
    </w:p>
    <w:p w14:paraId="3DF5093F">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_GB2312" w:hAnsi="仿宋_GB2312" w:eastAsia="仿宋_GB2312" w:cs="仿宋_GB2312"/>
          <w:color w:val="auto"/>
          <w:sz w:val="32"/>
          <w:szCs w:val="32"/>
          <w:highlight w:val="none"/>
        </w:rPr>
      </w:pPr>
      <w:r>
        <w:rPr>
          <w:rFonts w:hint="eastAsia"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.授权书</w:t>
      </w:r>
    </w:p>
    <w:p w14:paraId="38B26FC1">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（下一页</w:t>
      </w:r>
      <w:r>
        <w:rPr>
          <w:rFonts w:hint="eastAsia" w:ascii="仿宋_GB2312" w:hAnsi="仿宋_GB2312" w:eastAsia="仿宋_GB2312" w:cs="仿宋_GB2312"/>
          <w:color w:val="auto"/>
          <w:sz w:val="32"/>
          <w:szCs w:val="32"/>
          <w:highlight w:val="none"/>
        </w:rPr>
        <w:t>为</w:t>
      </w:r>
      <w:r>
        <w:rPr>
          <w:rFonts w:hint="eastAsia" w:ascii="仿宋_GB2312" w:hAnsi="仿宋_GB2312" w:eastAsia="仿宋_GB2312" w:cs="仿宋_GB2312"/>
          <w:color w:val="auto"/>
          <w:sz w:val="32"/>
          <w:szCs w:val="32"/>
          <w:highlight w:val="none"/>
          <w:lang w:val="en-US" w:eastAsia="zh-CN"/>
        </w:rPr>
        <w:t>合同签章</w:t>
      </w:r>
      <w:r>
        <w:rPr>
          <w:rFonts w:hint="eastAsia" w:ascii="仿宋_GB2312" w:hAnsi="仿宋_GB2312" w:eastAsia="仿宋_GB2312" w:cs="仿宋_GB2312"/>
          <w:color w:val="auto"/>
          <w:sz w:val="32"/>
          <w:szCs w:val="32"/>
          <w:highlight w:val="none"/>
        </w:rPr>
        <w:t>页，</w:t>
      </w:r>
      <w:r>
        <w:rPr>
          <w:rFonts w:hint="eastAsia" w:ascii="仿宋_GB2312" w:hAnsi="仿宋_GB2312" w:eastAsia="仿宋_GB2312" w:cs="仿宋_GB2312"/>
          <w:color w:val="auto"/>
          <w:kern w:val="2"/>
          <w:sz w:val="32"/>
          <w:szCs w:val="32"/>
          <w:highlight w:val="none"/>
        </w:rPr>
        <w:t>无正文）</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C5F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4261" w:type="dxa"/>
          </w:tcPr>
          <w:p w14:paraId="2A990E93">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甲方：海口市君实综合开发有限责任公司（印章）</w:t>
            </w:r>
          </w:p>
        </w:tc>
        <w:tc>
          <w:tcPr>
            <w:tcW w:w="4261" w:type="dxa"/>
          </w:tcPr>
          <w:p w14:paraId="7809C41F">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法定代表人或委托代理人：（签字/印章）</w:t>
            </w:r>
          </w:p>
          <w:p w14:paraId="0F7008A6">
            <w:pPr>
              <w:ind w:firstLine="0" w:firstLineChars="0"/>
              <w:rPr>
                <w:rFonts w:hint="eastAsia" w:ascii="仿宋_GB2312" w:hAnsi="仿宋_GB2312" w:eastAsia="仿宋_GB2312" w:cs="仿宋_GB2312"/>
                <w:color w:val="auto"/>
                <w:sz w:val="32"/>
                <w:szCs w:val="32"/>
                <w:highlight w:val="none"/>
              </w:rPr>
            </w:pPr>
          </w:p>
          <w:p w14:paraId="1C7FD1E1">
            <w:pPr>
              <w:ind w:firstLine="0" w:firstLineChars="0"/>
              <w:rPr>
                <w:rFonts w:hint="eastAsia" w:ascii="仿宋_GB2312" w:hAnsi="仿宋_GB2312" w:eastAsia="仿宋_GB2312" w:cs="仿宋_GB2312"/>
                <w:color w:val="auto"/>
                <w:sz w:val="32"/>
                <w:szCs w:val="32"/>
                <w:highlight w:val="none"/>
              </w:rPr>
            </w:pPr>
          </w:p>
          <w:p w14:paraId="6BF4E417">
            <w:pPr>
              <w:ind w:firstLine="0" w:firstLine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经办人：</w:t>
            </w:r>
          </w:p>
        </w:tc>
      </w:tr>
      <w:tr w14:paraId="6747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4261" w:type="dxa"/>
          </w:tcPr>
          <w:p w14:paraId="07CE0C23">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乙方：（印章）</w:t>
            </w:r>
          </w:p>
          <w:p w14:paraId="5930CE58">
            <w:pPr>
              <w:ind w:firstLine="0" w:firstLineChars="0"/>
              <w:rPr>
                <w:rFonts w:hint="eastAsia" w:ascii="仿宋_GB2312" w:hAnsi="仿宋_GB2312" w:eastAsia="仿宋_GB2312" w:cs="仿宋_GB2312"/>
                <w:color w:val="auto"/>
                <w:sz w:val="32"/>
                <w:szCs w:val="32"/>
                <w:highlight w:val="none"/>
              </w:rPr>
            </w:pPr>
          </w:p>
          <w:p w14:paraId="18299228">
            <w:pPr>
              <w:ind w:firstLine="0" w:firstLineChars="0"/>
              <w:rPr>
                <w:rFonts w:hint="eastAsia" w:ascii="仿宋_GB2312" w:hAnsi="仿宋_GB2312" w:eastAsia="仿宋_GB2312" w:cs="仿宋_GB2312"/>
                <w:color w:val="auto"/>
                <w:sz w:val="32"/>
                <w:szCs w:val="32"/>
                <w:highlight w:val="none"/>
              </w:rPr>
            </w:pPr>
          </w:p>
          <w:p w14:paraId="1E16257A">
            <w:pPr>
              <w:ind w:firstLine="0" w:firstLineChars="0"/>
              <w:rPr>
                <w:rFonts w:hint="eastAsia" w:ascii="仿宋_GB2312" w:hAnsi="仿宋_GB2312" w:eastAsia="仿宋_GB2312" w:cs="仿宋_GB2312"/>
                <w:color w:val="auto"/>
                <w:sz w:val="32"/>
                <w:szCs w:val="32"/>
                <w:highlight w:val="none"/>
              </w:rPr>
            </w:pPr>
          </w:p>
          <w:p w14:paraId="69D31E64">
            <w:pPr>
              <w:ind w:firstLine="0" w:firstLineChars="0"/>
              <w:rPr>
                <w:rFonts w:hint="eastAsia" w:ascii="仿宋_GB2312" w:hAnsi="仿宋_GB2312" w:eastAsia="仿宋_GB2312" w:cs="仿宋_GB2312"/>
                <w:color w:val="auto"/>
                <w:sz w:val="32"/>
                <w:szCs w:val="32"/>
                <w:highlight w:val="none"/>
              </w:rPr>
            </w:pPr>
          </w:p>
        </w:tc>
        <w:tc>
          <w:tcPr>
            <w:tcW w:w="4261" w:type="dxa"/>
          </w:tcPr>
          <w:p w14:paraId="718AD518">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法定代表人或委托代理人：（签字/印章）</w:t>
            </w:r>
          </w:p>
          <w:p w14:paraId="19B0A95E">
            <w:pPr>
              <w:ind w:firstLine="0" w:firstLineChars="0"/>
              <w:rPr>
                <w:rFonts w:hint="eastAsia" w:ascii="仿宋_GB2312" w:hAnsi="仿宋_GB2312" w:eastAsia="仿宋_GB2312" w:cs="仿宋_GB2312"/>
                <w:color w:val="auto"/>
                <w:sz w:val="32"/>
                <w:szCs w:val="32"/>
                <w:highlight w:val="none"/>
              </w:rPr>
            </w:pPr>
          </w:p>
          <w:p w14:paraId="17566C45">
            <w:pPr>
              <w:ind w:firstLine="0" w:firstLineChars="0"/>
              <w:rPr>
                <w:rFonts w:hint="eastAsia" w:ascii="仿宋_GB2312" w:hAnsi="仿宋_GB2312" w:eastAsia="仿宋_GB2312" w:cs="仿宋_GB2312"/>
                <w:color w:val="auto"/>
                <w:sz w:val="32"/>
                <w:szCs w:val="32"/>
                <w:highlight w:val="none"/>
              </w:rPr>
            </w:pPr>
          </w:p>
          <w:p w14:paraId="172CCE3B">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经办人：</w:t>
            </w:r>
          </w:p>
        </w:tc>
      </w:tr>
      <w:tr w14:paraId="3184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33F6E8EC">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签订时间：</w:t>
            </w:r>
          </w:p>
          <w:p w14:paraId="4DE7B367">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签订地点：</w:t>
            </w:r>
          </w:p>
        </w:tc>
      </w:tr>
    </w:tbl>
    <w:p w14:paraId="3C994DA3">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14:paraId="1BB44A13">
      <w:pPr>
        <w:spacing w:line="240" w:lineRule="auto"/>
        <w:ind w:firstLine="0" w:firstLineChars="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附件1.</w:t>
      </w:r>
    </w:p>
    <w:p w14:paraId="24095B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廉政协议书</w:t>
      </w:r>
    </w:p>
    <w:p w14:paraId="1EBE38E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auto"/>
          <w:sz w:val="32"/>
          <w:szCs w:val="32"/>
          <w:highlight w:val="none"/>
          <w:lang w:eastAsia="zh"/>
        </w:rPr>
      </w:pPr>
      <w:r>
        <w:rPr>
          <w:rFonts w:hint="eastAsia" w:ascii="黑体" w:hAnsi="黑体" w:eastAsia="黑体" w:cs="黑体"/>
          <w:b/>
          <w:bCs/>
          <w:color w:val="auto"/>
          <w:sz w:val="32"/>
          <w:szCs w:val="32"/>
          <w:highlight w:val="none"/>
        </w:rPr>
        <w:t>甲方：</w:t>
      </w:r>
      <w:r>
        <w:rPr>
          <w:rFonts w:hint="eastAsia" w:ascii="黑体" w:hAnsi="黑体" w:eastAsia="黑体" w:cs="黑体"/>
          <w:b/>
          <w:bCs/>
          <w:color w:val="auto"/>
          <w:sz w:val="32"/>
          <w:szCs w:val="32"/>
          <w:highlight w:val="none"/>
          <w:u w:val="none"/>
          <w:lang w:eastAsia="zh"/>
        </w:rPr>
        <w:t>海口市君实综合开发有限责任公司</w:t>
      </w:r>
    </w:p>
    <w:p w14:paraId="3CA6448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b/>
          <w:bCs/>
          <w:color w:val="auto"/>
          <w:sz w:val="32"/>
          <w:szCs w:val="32"/>
          <w:highlight w:val="none"/>
        </w:rPr>
        <w:t>乙方：</w:t>
      </w:r>
      <w:r>
        <w:rPr>
          <w:rFonts w:hint="eastAsia" w:ascii="黑体" w:hAnsi="黑体" w:eastAsia="黑体" w:cs="黑体"/>
          <w:b/>
          <w:bCs/>
          <w:color w:val="auto"/>
          <w:sz w:val="32"/>
          <w:szCs w:val="32"/>
          <w:highlight w:val="none"/>
          <w:u w:val="none"/>
        </w:rPr>
        <w:t xml:space="preserve">        </w:t>
      </w:r>
      <w:r>
        <w:rPr>
          <w:rFonts w:hint="eastAsia" w:ascii="仿宋_GB2312" w:hAnsi="仿宋_GB2312" w:eastAsia="仿宋_GB2312" w:cs="仿宋_GB2312"/>
          <w:b w:val="0"/>
          <w:bCs w:val="0"/>
          <w:color w:val="auto"/>
          <w:sz w:val="32"/>
          <w:szCs w:val="32"/>
          <w:highlight w:val="none"/>
          <w:u w:val="none"/>
        </w:rPr>
        <w:t xml:space="preserve">                      </w:t>
      </w:r>
    </w:p>
    <w:p w14:paraId="21EDA4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10772B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第一条 甲方与乙方双方责任</w:t>
      </w:r>
    </w:p>
    <w:p w14:paraId="5A0A55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C5795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4F005D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（三）自确定合同主体、签订合同直至合同履行结束全过程，甲方和乙方双方应全面履行合同内容及廉政协议的各项规定，自觉按合同办事。</w:t>
      </w:r>
    </w:p>
    <w:p w14:paraId="33343C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062F5F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0C4B7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第二条 甲方责任</w:t>
      </w:r>
    </w:p>
    <w:p w14:paraId="6A68AD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甲方单位及工作人员在合同签订及履行过程中应做到：</w:t>
      </w:r>
    </w:p>
    <w:p w14:paraId="6B265F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B353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（二）不得在乙方单位及乙方所属单位报销任何应由甲方单位或个人支付的费用；</w:t>
      </w:r>
    </w:p>
    <w:p w14:paraId="1039C5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733120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（四）除合同特别约定外，不得向乙方推销或指定使用各种材料及设备等。</w:t>
      </w:r>
    </w:p>
    <w:p w14:paraId="0856F2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第三条 乙方责任</w:t>
      </w:r>
    </w:p>
    <w:p w14:paraId="165966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乙方单位及所属工作人员在合同签订及履行过程中应做到：</w:t>
      </w:r>
    </w:p>
    <w:p w14:paraId="5F379F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（一）不得向甲方工作人员及第三方赠送礼品、礼金、有价证券、支付凭证等金钱或实物；</w:t>
      </w:r>
    </w:p>
    <w:p w14:paraId="2D3ADE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（二）不得为甲方单位或个人购置或者提供通信工具、交通工具、家电、高档办公用品等；</w:t>
      </w:r>
    </w:p>
    <w:p w14:paraId="0F2FBF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（三）不得以任何形式、理由为甲方和相关单位报销应由甲方单位或工作人员支付的费用；</w:t>
      </w:r>
    </w:p>
    <w:p w14:paraId="50752D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（四）不得组织有可能影响甲方工作人员履行公职职责或可能影响产品质量、廉政建设的宴请、旅游等各种高消费娱乐活动。</w:t>
      </w:r>
    </w:p>
    <w:p w14:paraId="19914A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（五）不得为甲方工作人员住房装修、婚丧嫁娶、家属和子女的工作安排以及出国等提供方便。</w:t>
      </w:r>
    </w:p>
    <w:p w14:paraId="64F47D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（六）如遇到甲方工作人员向乙方单位或个人索要任何不正当利益时，乙方单位或个人有义务向甲方举报。</w:t>
      </w:r>
    </w:p>
    <w:p w14:paraId="3B4730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第四条 违约责任</w:t>
      </w:r>
    </w:p>
    <w:p w14:paraId="125EDE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（一）甲方工作人员有违反本协议书责任行为的，按照管理权限，依据有关法律法规和规定，追究相关法律责任。涉嫌犯罪的，移交司法机关追究刑事责任；给乙方单位造成经济损失的，应予以赔偿。</w:t>
      </w:r>
    </w:p>
    <w:p w14:paraId="3A3015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乙方工作人员或所属单位人员有违反本协议书责任行为的，甲方有权要求乙方承担合同总金额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3C41FF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（三）双方约定：本协议书由甲方与乙方双方上级主管部门担任监督单位。违约情况发生时由双方监督单位对本协议书履行情况进行检查，提出在本承诺书规定范围内的裁定意见。</w:t>
      </w:r>
    </w:p>
    <w:p w14:paraId="2B5448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仿宋_GB2312" w:hAnsi="仿宋_GB2312" w:eastAsia="仿宋_GB2312" w:cs="仿宋_GB2312"/>
          <w:b w:val="0"/>
          <w:bCs w:val="0"/>
          <w:color w:val="auto"/>
          <w:sz w:val="32"/>
          <w:szCs w:val="32"/>
          <w:highlight w:val="none"/>
        </w:rPr>
        <w:t xml:space="preserve">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u w:val="none"/>
        </w:rPr>
        <w:t xml:space="preserve"> 《</w:t>
      </w:r>
      <w:r>
        <w:rPr>
          <w:rFonts w:hint="eastAsia" w:hAnsi="仿宋_GB2312" w:eastAsia="仿宋_GB2312" w:cs="仿宋_GB2312"/>
          <w:color w:val="auto"/>
          <w:sz w:val="32"/>
          <w:szCs w:val="32"/>
          <w:highlight w:val="none"/>
          <w:u w:val="none"/>
          <w:lang w:val="en-US" w:eastAsia="zh-CN"/>
        </w:rPr>
        <w:t>江东·梧桐里、江东·悦海、青春东岸项目未售商铺市场租金评估服务合同</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rPr>
        <w:t>的附件，与主合同具有同等法律效力，经双方盖章签字后生效。</w:t>
      </w:r>
    </w:p>
    <w:p w14:paraId="71237C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第六条</w:t>
      </w:r>
      <w:r>
        <w:rPr>
          <w:rFonts w:hint="eastAsia" w:ascii="仿宋_GB2312" w:hAnsi="仿宋_GB2312" w:eastAsia="仿宋_GB2312" w:cs="仿宋_GB2312"/>
          <w:b w:val="0"/>
          <w:bCs w:val="0"/>
          <w:color w:val="auto"/>
          <w:sz w:val="32"/>
          <w:szCs w:val="32"/>
          <w:highlight w:val="none"/>
        </w:rPr>
        <w:t xml:space="preserve"> </w:t>
      </w:r>
      <w:r>
        <w:rPr>
          <w:rFonts w:hint="eastAsia" w:ascii="仿宋_GB2312" w:hAnsi="仿宋_GB2312" w:eastAsia="仿宋_GB2312" w:cs="仿宋_GB2312"/>
          <w:color w:val="auto"/>
          <w:sz w:val="32"/>
          <w:szCs w:val="32"/>
          <w:highlight w:val="none"/>
        </w:rPr>
        <w:t>本协议书的有效期与主合同的有效期一致。</w:t>
      </w:r>
    </w:p>
    <w:p w14:paraId="38A408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黑体" w:hAnsi="黑体" w:eastAsia="黑体" w:cs="黑体"/>
          <w:color w:val="auto"/>
          <w:sz w:val="32"/>
          <w:szCs w:val="32"/>
          <w:highlight w:val="none"/>
        </w:rPr>
        <w:t>第七条</w:t>
      </w:r>
      <w:r>
        <w:rPr>
          <w:rFonts w:hint="eastAsia" w:ascii="黑体" w:hAnsi="黑体" w:eastAsia="黑体" w:cs="黑体"/>
          <w:b w:val="0"/>
          <w:bCs w:val="0"/>
          <w:color w:val="auto"/>
          <w:sz w:val="32"/>
          <w:szCs w:val="32"/>
          <w:highlight w:val="none"/>
        </w:rPr>
        <w:t xml:space="preserve"> </w:t>
      </w:r>
      <w:r>
        <w:rPr>
          <w:rFonts w:hint="eastAsia" w:ascii="仿宋_GB2312" w:hAnsi="仿宋_GB2312" w:eastAsia="仿宋_GB2312" w:cs="仿宋_GB2312"/>
          <w:color w:val="auto"/>
          <w:sz w:val="32"/>
          <w:szCs w:val="32"/>
          <w:highlight w:val="none"/>
        </w:rPr>
        <w:t>未尽事宜，由双方协商解决。</w:t>
      </w:r>
    </w:p>
    <w:p w14:paraId="6326D80C">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（本页为盖章页）</w:t>
      </w:r>
    </w:p>
    <w:p w14:paraId="67674B24">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2AFBC2FE">
      <w:pPr>
        <w:ind w:firstLine="0" w:firstLineChars="0"/>
        <w:rPr>
          <w:rFonts w:hint="eastAsia" w:ascii="仿宋_GB2312" w:hAnsi="仿宋_GB2312" w:eastAsia="仿宋_GB2312" w:cs="仿宋_GB2312"/>
          <w:color w:val="auto"/>
          <w:sz w:val="32"/>
          <w:szCs w:val="32"/>
          <w:highlight w:val="none"/>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4A22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2BEB2A9">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甲方：海口市君实综合开发有限责任公司（印章）</w:t>
            </w:r>
          </w:p>
          <w:p w14:paraId="2ED6A849">
            <w:pPr>
              <w:ind w:firstLine="0" w:firstLineChars="0"/>
              <w:rPr>
                <w:rFonts w:hint="eastAsia" w:ascii="仿宋_GB2312" w:hAnsi="仿宋_GB2312" w:eastAsia="仿宋_GB2312" w:cs="仿宋_GB2312"/>
                <w:color w:val="auto"/>
                <w:sz w:val="32"/>
                <w:szCs w:val="32"/>
                <w:highlight w:val="none"/>
              </w:rPr>
            </w:pPr>
          </w:p>
          <w:p w14:paraId="70CEB38E">
            <w:pPr>
              <w:ind w:firstLine="0" w:firstLineChars="0"/>
              <w:rPr>
                <w:rFonts w:hint="eastAsia" w:ascii="仿宋_GB2312" w:hAnsi="仿宋_GB2312" w:eastAsia="仿宋_GB2312" w:cs="仿宋_GB2312"/>
                <w:color w:val="auto"/>
                <w:sz w:val="32"/>
                <w:szCs w:val="32"/>
                <w:highlight w:val="none"/>
              </w:rPr>
            </w:pPr>
          </w:p>
          <w:p w14:paraId="6744B861">
            <w:pPr>
              <w:ind w:firstLine="0" w:firstLineChars="0"/>
              <w:rPr>
                <w:rFonts w:hint="eastAsia" w:ascii="仿宋_GB2312" w:hAnsi="仿宋_GB2312" w:eastAsia="仿宋_GB2312" w:cs="仿宋_GB2312"/>
                <w:color w:val="auto"/>
                <w:sz w:val="32"/>
                <w:szCs w:val="32"/>
                <w:highlight w:val="none"/>
              </w:rPr>
            </w:pPr>
          </w:p>
          <w:p w14:paraId="68B11ADF">
            <w:pPr>
              <w:ind w:firstLine="0" w:firstLineChars="0"/>
              <w:rPr>
                <w:rFonts w:hint="eastAsia" w:ascii="仿宋_GB2312" w:hAnsi="仿宋_GB2312" w:eastAsia="仿宋_GB2312" w:cs="仿宋_GB2312"/>
                <w:color w:val="auto"/>
                <w:sz w:val="32"/>
                <w:szCs w:val="32"/>
                <w:highlight w:val="none"/>
              </w:rPr>
            </w:pPr>
          </w:p>
        </w:tc>
        <w:tc>
          <w:tcPr>
            <w:tcW w:w="4148" w:type="dxa"/>
          </w:tcPr>
          <w:p w14:paraId="0F6F5AE3">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法定代表人或委托代理人：（签字/印章）</w:t>
            </w:r>
          </w:p>
          <w:p w14:paraId="48B58A04">
            <w:pPr>
              <w:ind w:firstLine="0" w:firstLineChars="0"/>
              <w:rPr>
                <w:rFonts w:hint="eastAsia" w:ascii="仿宋_GB2312" w:hAnsi="仿宋_GB2312" w:eastAsia="仿宋_GB2312" w:cs="仿宋_GB2312"/>
                <w:color w:val="auto"/>
                <w:sz w:val="32"/>
                <w:szCs w:val="32"/>
                <w:highlight w:val="none"/>
              </w:rPr>
            </w:pPr>
          </w:p>
          <w:p w14:paraId="6E5AD0A6">
            <w:pPr>
              <w:ind w:firstLine="0" w:firstLineChars="0"/>
              <w:rPr>
                <w:rFonts w:hint="eastAsia" w:ascii="仿宋_GB2312" w:hAnsi="仿宋_GB2312" w:eastAsia="仿宋_GB2312" w:cs="仿宋_GB2312"/>
                <w:color w:val="auto"/>
                <w:sz w:val="32"/>
                <w:szCs w:val="32"/>
                <w:highlight w:val="none"/>
              </w:rPr>
            </w:pPr>
          </w:p>
          <w:p w14:paraId="30FBC966">
            <w:pPr>
              <w:ind w:firstLine="0" w:firstLineChars="0"/>
              <w:rPr>
                <w:rFonts w:hint="eastAsia" w:ascii="仿宋_GB2312" w:hAnsi="仿宋_GB2312" w:eastAsia="仿宋_GB2312" w:cs="仿宋_GB2312"/>
                <w:color w:val="auto"/>
                <w:sz w:val="32"/>
                <w:szCs w:val="32"/>
                <w:highlight w:val="none"/>
              </w:rPr>
            </w:pPr>
          </w:p>
          <w:p w14:paraId="2CDD952D">
            <w:pPr>
              <w:ind w:firstLine="0" w:firstLineChars="0"/>
              <w:rPr>
                <w:rFonts w:hint="eastAsia" w:ascii="仿宋_GB2312" w:hAnsi="仿宋_GB2312" w:eastAsia="仿宋_GB2312" w:cs="仿宋_GB2312"/>
                <w:color w:val="auto"/>
                <w:sz w:val="32"/>
                <w:szCs w:val="32"/>
                <w:highlight w:val="none"/>
              </w:rPr>
            </w:pPr>
          </w:p>
          <w:p w14:paraId="201B685C">
            <w:pPr>
              <w:ind w:firstLine="0" w:firstLineChars="0"/>
              <w:rPr>
                <w:rFonts w:hint="eastAsia" w:ascii="仿宋_GB2312" w:hAnsi="仿宋_GB2312" w:eastAsia="仿宋_GB2312" w:cs="仿宋_GB2312"/>
                <w:color w:val="auto"/>
                <w:sz w:val="32"/>
                <w:szCs w:val="32"/>
                <w:highlight w:val="none"/>
              </w:rPr>
            </w:pPr>
          </w:p>
        </w:tc>
      </w:tr>
      <w:tr w14:paraId="711F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1EE2287">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乙方：（印章）</w:t>
            </w:r>
          </w:p>
          <w:p w14:paraId="0DB23C99">
            <w:pPr>
              <w:ind w:firstLine="0" w:firstLineChars="0"/>
              <w:rPr>
                <w:rFonts w:hint="eastAsia" w:ascii="仿宋_GB2312" w:hAnsi="仿宋_GB2312" w:eastAsia="仿宋_GB2312" w:cs="仿宋_GB2312"/>
                <w:color w:val="auto"/>
                <w:sz w:val="32"/>
                <w:szCs w:val="32"/>
                <w:highlight w:val="none"/>
              </w:rPr>
            </w:pPr>
          </w:p>
          <w:p w14:paraId="1953F6F6">
            <w:pPr>
              <w:ind w:firstLine="0" w:firstLineChars="0"/>
              <w:rPr>
                <w:rFonts w:hint="eastAsia" w:ascii="仿宋_GB2312" w:hAnsi="仿宋_GB2312" w:eastAsia="仿宋_GB2312" w:cs="仿宋_GB2312"/>
                <w:color w:val="auto"/>
                <w:sz w:val="32"/>
                <w:szCs w:val="32"/>
                <w:highlight w:val="none"/>
              </w:rPr>
            </w:pPr>
          </w:p>
          <w:p w14:paraId="2149D13E">
            <w:pPr>
              <w:ind w:firstLine="0" w:firstLineChars="0"/>
              <w:rPr>
                <w:rFonts w:hint="eastAsia" w:ascii="仿宋_GB2312" w:hAnsi="仿宋_GB2312" w:eastAsia="仿宋_GB2312" w:cs="仿宋_GB2312"/>
                <w:color w:val="auto"/>
                <w:sz w:val="32"/>
                <w:szCs w:val="32"/>
                <w:highlight w:val="none"/>
              </w:rPr>
            </w:pPr>
          </w:p>
          <w:p w14:paraId="387FAF6E">
            <w:pPr>
              <w:ind w:firstLine="0" w:firstLineChars="0"/>
              <w:rPr>
                <w:rFonts w:hint="eastAsia" w:ascii="仿宋_GB2312" w:hAnsi="仿宋_GB2312" w:eastAsia="仿宋_GB2312" w:cs="仿宋_GB2312"/>
                <w:color w:val="auto"/>
                <w:sz w:val="32"/>
                <w:szCs w:val="32"/>
                <w:highlight w:val="none"/>
              </w:rPr>
            </w:pPr>
          </w:p>
        </w:tc>
        <w:tc>
          <w:tcPr>
            <w:tcW w:w="4148" w:type="dxa"/>
          </w:tcPr>
          <w:p w14:paraId="7E6CE85A">
            <w:pPr>
              <w:ind w:firstLine="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法定代表人或委托代理人：（签字/印章）</w:t>
            </w:r>
          </w:p>
          <w:p w14:paraId="3C639727">
            <w:pPr>
              <w:ind w:firstLine="0" w:firstLineChars="0"/>
              <w:rPr>
                <w:rFonts w:hint="eastAsia" w:ascii="仿宋_GB2312" w:hAnsi="仿宋_GB2312" w:eastAsia="仿宋_GB2312" w:cs="仿宋_GB2312"/>
                <w:color w:val="auto"/>
                <w:sz w:val="32"/>
                <w:szCs w:val="32"/>
                <w:highlight w:val="none"/>
              </w:rPr>
            </w:pPr>
          </w:p>
          <w:p w14:paraId="7B71883C">
            <w:pPr>
              <w:ind w:firstLine="0" w:firstLineChars="0"/>
              <w:rPr>
                <w:rFonts w:hint="eastAsia" w:ascii="仿宋_GB2312" w:hAnsi="仿宋_GB2312" w:eastAsia="仿宋_GB2312" w:cs="仿宋_GB2312"/>
                <w:color w:val="auto"/>
                <w:sz w:val="32"/>
                <w:szCs w:val="32"/>
                <w:highlight w:val="none"/>
              </w:rPr>
            </w:pPr>
          </w:p>
          <w:p w14:paraId="53DDB747">
            <w:pPr>
              <w:ind w:firstLine="0" w:firstLineChars="0"/>
              <w:rPr>
                <w:rFonts w:hint="eastAsia" w:ascii="仿宋_GB2312" w:hAnsi="仿宋_GB2312" w:eastAsia="仿宋_GB2312" w:cs="仿宋_GB2312"/>
                <w:color w:val="auto"/>
                <w:sz w:val="32"/>
                <w:szCs w:val="32"/>
                <w:highlight w:val="none"/>
              </w:rPr>
            </w:pPr>
          </w:p>
          <w:p w14:paraId="143E0400">
            <w:pPr>
              <w:ind w:firstLine="0" w:firstLineChars="0"/>
              <w:rPr>
                <w:rFonts w:hint="eastAsia" w:ascii="仿宋_GB2312" w:hAnsi="仿宋_GB2312" w:eastAsia="仿宋_GB2312" w:cs="仿宋_GB2312"/>
                <w:color w:val="auto"/>
                <w:sz w:val="32"/>
                <w:szCs w:val="32"/>
                <w:highlight w:val="none"/>
              </w:rPr>
            </w:pPr>
          </w:p>
          <w:p w14:paraId="5A888581">
            <w:pPr>
              <w:ind w:firstLine="0" w:firstLineChars="0"/>
              <w:rPr>
                <w:rFonts w:hint="eastAsia" w:ascii="仿宋_GB2312" w:hAnsi="仿宋_GB2312" w:eastAsia="仿宋_GB2312" w:cs="仿宋_GB2312"/>
                <w:color w:val="auto"/>
                <w:sz w:val="32"/>
                <w:szCs w:val="32"/>
                <w:highlight w:val="none"/>
              </w:rPr>
            </w:pPr>
          </w:p>
        </w:tc>
      </w:tr>
    </w:tbl>
    <w:p w14:paraId="20FFB3DB">
      <w:pPr>
        <w:ind w:firstLine="0" w:firstLineChars="0"/>
        <w:rPr>
          <w:rFonts w:hint="eastAsia" w:ascii="仿宋_GB2312" w:hAnsi="仿宋_GB2312" w:eastAsia="仿宋_GB2312" w:cs="仿宋_GB2312"/>
          <w:color w:val="auto"/>
          <w:sz w:val="32"/>
          <w:szCs w:val="32"/>
          <w:highlight w:val="none"/>
        </w:rPr>
      </w:pPr>
    </w:p>
    <w:p w14:paraId="02CC79A5">
      <w:pPr>
        <w:rPr>
          <w:rFonts w:hint="eastAsia" w:ascii="仿宋_GB2312" w:hAnsi="仿宋_GB2312" w:eastAsia="仿宋_GB2312" w:cs="仿宋_GB2312"/>
          <w:b w:val="0"/>
          <w:bCs w:val="0"/>
          <w:color w:val="auto"/>
          <w:kern w:val="2"/>
          <w:sz w:val="32"/>
          <w:szCs w:val="32"/>
          <w:highlight w:val="none"/>
        </w:rPr>
      </w:pPr>
      <w:bookmarkStart w:id="0" w:name="_Toc2512"/>
      <w:bookmarkEnd w:id="0"/>
      <w:bookmarkStart w:id="1" w:name="_Toc31847"/>
      <w:r>
        <w:rPr>
          <w:rFonts w:hint="eastAsia" w:ascii="仿宋_GB2312" w:hAnsi="仿宋_GB2312" w:eastAsia="仿宋_GB2312" w:cs="仿宋_GB2312"/>
          <w:b w:val="0"/>
          <w:bCs w:val="0"/>
          <w:color w:val="auto"/>
          <w:kern w:val="2"/>
          <w:sz w:val="32"/>
          <w:szCs w:val="32"/>
          <w:highlight w:val="none"/>
        </w:rPr>
        <w:br w:type="page"/>
      </w:r>
    </w:p>
    <w:p w14:paraId="56B88E51">
      <w:pPr>
        <w:ind w:firstLine="0" w:firstLineChars="0"/>
        <w:jc w:val="left"/>
        <w:rPr>
          <w:rFonts w:hint="eastAsia"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rPr>
        <w:t>附件2</w:t>
      </w:r>
      <w:r>
        <w:rPr>
          <w:rFonts w:hint="eastAsia" w:ascii="仿宋_GB2312" w:hAnsi="仿宋_GB2312" w:eastAsia="仿宋_GB2312" w:cs="仿宋_GB2312"/>
          <w:b w:val="0"/>
          <w:bCs w:val="0"/>
          <w:color w:val="auto"/>
          <w:kern w:val="2"/>
          <w:sz w:val="32"/>
          <w:szCs w:val="32"/>
          <w:highlight w:val="none"/>
          <w:lang w:val="en-US" w:eastAsia="zh-CN"/>
        </w:rPr>
        <w:t>.</w:t>
      </w:r>
    </w:p>
    <w:p w14:paraId="7B051C47">
      <w:pPr>
        <w:ind w:firstLine="0" w:firstLineChars="0"/>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保密承诺函</w:t>
      </w:r>
    </w:p>
    <w:p w14:paraId="68F260FF">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r>
        <w:rPr>
          <w:rFonts w:hint="eastAsia" w:ascii="仿宋_GB2312" w:hAnsi="仿宋_GB2312" w:eastAsia="仿宋_GB2312" w:cs="仿宋_GB2312"/>
          <w:color w:val="auto"/>
          <w:sz w:val="32"/>
          <w:szCs w:val="32"/>
          <w:highlight w:val="none"/>
          <w:u w:val="none"/>
          <w:lang w:eastAsia="zh"/>
        </w:rPr>
        <w:t>海口市君实综合开发有限责任公司</w:t>
      </w:r>
      <w:r>
        <w:rPr>
          <w:rFonts w:hint="eastAsia" w:ascii="仿宋_GB2312" w:hAnsi="仿宋_GB2312" w:eastAsia="仿宋_GB2312" w:cs="仿宋_GB2312"/>
          <w:color w:val="auto"/>
          <w:sz w:val="32"/>
          <w:szCs w:val="32"/>
          <w:highlight w:val="none"/>
        </w:rPr>
        <w:t>：</w:t>
      </w:r>
    </w:p>
    <w:p w14:paraId="6AC0E84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r>
        <w:rPr>
          <w:rFonts w:hint="eastAsia" w:ascii="仿宋_GB2312" w:hAnsi="仿宋_GB2312" w:eastAsia="仿宋_GB2312" w:cs="仿宋_GB2312"/>
          <w:color w:val="auto"/>
          <w:sz w:val="32"/>
          <w:szCs w:val="32"/>
          <w:highlight w:val="none"/>
          <w:u w:val="single"/>
          <w:lang w:eastAsia="zh"/>
        </w:rPr>
        <w:t>海口市君实综合开发有限责任公司</w:t>
      </w:r>
      <w:r>
        <w:rPr>
          <w:rFonts w:hint="eastAsia" w:ascii="仿宋_GB2312" w:hAnsi="仿宋_GB2312" w:eastAsia="仿宋_GB2312" w:cs="仿宋_GB2312"/>
          <w:color w:val="auto"/>
          <w:sz w:val="32"/>
          <w:szCs w:val="32"/>
          <w:highlight w:val="none"/>
        </w:rPr>
        <w:t>（以下简称“甲方”）邀请，负责</w:t>
      </w:r>
      <w:r>
        <w:rPr>
          <w:rFonts w:hint="eastAsia" w:ascii="仿宋_GB2312" w:hAnsi="仿宋_GB2312" w:eastAsia="仿宋_GB2312" w:cs="仿宋_GB2312"/>
          <w:color w:val="auto"/>
          <w:sz w:val="32"/>
          <w:szCs w:val="32"/>
          <w:highlight w:val="none"/>
          <w:u w:val="single"/>
        </w:rPr>
        <w:t>江东·梧桐里、江东·悦海、青春东岸项目未售商铺市场租金评估服务</w:t>
      </w:r>
      <w:r>
        <w:rPr>
          <w:rFonts w:hint="eastAsia" w:ascii="仿宋_GB2312" w:hAnsi="仿宋_GB2312" w:eastAsia="仿宋_GB2312" w:cs="仿宋_GB2312"/>
          <w:color w:val="auto"/>
          <w:sz w:val="32"/>
          <w:szCs w:val="32"/>
          <w:highlight w:val="none"/>
        </w:rPr>
        <w:t>工作，我司在此承诺：</w:t>
      </w:r>
    </w:p>
    <w:p w14:paraId="76AE7BF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甲方及利益相关方的一切非公开资料、信息，包括但不限于关于基础资料及数据，以及本合同内容等，我司对保密信息负有保密义务，我司承诺不以任何方式（包括但不限于复制、仿造等）将保密信息泄露给本合同以外的任何人，不将保密信息用于本项目以外的其他用途。</w:t>
      </w:r>
    </w:p>
    <w:p w14:paraId="12974DF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2.我司承担保密义务直至本条款中所称的保密信息进入公示领域或甲方将这些保密信息公开为止，不因本合同终止或履行完毕而终止。</w:t>
      </w:r>
    </w:p>
    <w:p w14:paraId="624926A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甲方利益，给甲方带来严重的经济损失或负面影响，我司承担由此引起的所有责任和经济损失，甲方有权依据本承诺函追究我司责任。同时我司愿意承担因违反前述承诺及约定，导致甲方支出的诉讼费、保全费、评估费、鉴定费、调查费、公证费、律师费，以及向第三方支付的赔偿、为应对第三方的指控而支付的一切费用等。</w:t>
      </w:r>
    </w:p>
    <w:p w14:paraId="43D348B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（此页无正文）</w:t>
      </w:r>
    </w:p>
    <w:p w14:paraId="70AA66C3">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仿宋_GB2312" w:hAnsi="仿宋_GB2312" w:eastAsia="仿宋_GB2312" w:cs="仿宋_GB2312"/>
          <w:color w:val="auto"/>
          <w:sz w:val="32"/>
          <w:szCs w:val="32"/>
          <w:highlight w:val="none"/>
        </w:rPr>
      </w:pPr>
    </w:p>
    <w:p w14:paraId="749BDAE3">
      <w:pPr>
        <w:keepNext w:val="0"/>
        <w:keepLines w:val="0"/>
        <w:pageBreakBefore w:val="0"/>
        <w:widowControl w:val="0"/>
        <w:kinsoku/>
        <w:wordWrap/>
        <w:overflowPunct/>
        <w:topLinePunct w:val="0"/>
        <w:autoSpaceDE/>
        <w:autoSpaceDN/>
        <w:bidi w:val="0"/>
        <w:adjustRightInd/>
        <w:snapToGrid/>
        <w:spacing w:line="500" w:lineRule="exact"/>
        <w:ind w:right="0" w:firstLine="0" w:firstLineChars="0"/>
        <w:jc w:val="righ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
    <w:p w14:paraId="2F154A4D">
      <w:pPr>
        <w:keepNext w:val="0"/>
        <w:keepLines w:val="0"/>
        <w:pageBreakBefore w:val="0"/>
        <w:widowControl w:val="0"/>
        <w:kinsoku/>
        <w:wordWrap/>
        <w:overflowPunct/>
        <w:topLinePunct w:val="0"/>
        <w:autoSpaceDE/>
        <w:autoSpaceDN/>
        <w:bidi w:val="0"/>
        <w:adjustRightInd/>
        <w:snapToGrid/>
        <w:spacing w:line="500" w:lineRule="exact"/>
        <w:ind w:firstLine="0" w:firstLineChars="0"/>
        <w:jc w:val="righ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日期：</w:t>
      </w:r>
      <w:r>
        <w:rPr>
          <w:rFonts w:hint="eastAsia"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年   月   日</w:t>
      </w:r>
    </w:p>
    <w:bookmarkEnd w:id="1"/>
    <w:p w14:paraId="76BE6F3A">
      <w:pPr>
        <w:ind w:firstLine="0" w:firstLineChars="0"/>
        <w:rPr>
          <w:rFonts w:hint="eastAsia" w:hAnsi="仿宋_GB2312" w:eastAsia="仿宋_GB2312" w:cs="仿宋_GB2312"/>
          <w:color w:val="auto"/>
          <w:sz w:val="32"/>
          <w:szCs w:val="32"/>
          <w:highlight w:val="none"/>
        </w:rPr>
        <w:sectPr>
          <w:headerReference r:id="rId5" w:type="default"/>
          <w:footerReference r:id="rId6" w:type="default"/>
          <w:pgSz w:w="11906" w:h="16838"/>
          <w:pgMar w:top="1440" w:right="1426" w:bottom="1440" w:left="1800" w:header="851" w:footer="992" w:gutter="0"/>
          <w:pgNumType w:fmt="decimal"/>
          <w:cols w:space="0" w:num="1"/>
          <w:rtlGutter w:val="0"/>
          <w:docGrid w:type="lines" w:linePitch="312" w:charSpace="0"/>
        </w:sectPr>
      </w:pPr>
    </w:p>
    <w:p w14:paraId="30466DA9">
      <w:pPr>
        <w:ind w:firstLine="0" w:firstLineChars="0"/>
        <w:jc w:val="left"/>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附件</w:t>
      </w:r>
      <w:r>
        <w:rPr>
          <w:rFonts w:hint="eastAsia" w:ascii="仿宋_GB2312" w:hAnsi="仿宋_GB2312" w:eastAsia="仿宋_GB2312" w:cs="仿宋_GB2312"/>
          <w:b w:val="0"/>
          <w:bCs w:val="0"/>
          <w:color w:val="auto"/>
          <w:kern w:val="2"/>
          <w:sz w:val="32"/>
          <w:szCs w:val="32"/>
          <w:highlight w:val="none"/>
          <w:lang w:val="en-US" w:eastAsia="zh-CN"/>
        </w:rPr>
        <w:t>3</w:t>
      </w:r>
      <w:r>
        <w:rPr>
          <w:rFonts w:hint="eastAsia" w:ascii="仿宋_GB2312" w:hAnsi="仿宋_GB2312" w:eastAsia="仿宋_GB2312" w:cs="仿宋_GB2312"/>
          <w:b w:val="0"/>
          <w:bCs w:val="0"/>
          <w:color w:val="auto"/>
          <w:kern w:val="2"/>
          <w:sz w:val="32"/>
          <w:szCs w:val="32"/>
          <w:highlight w:val="none"/>
        </w:rPr>
        <w:t>.</w:t>
      </w:r>
    </w:p>
    <w:p w14:paraId="03749B8F">
      <w:pPr>
        <w:ind w:firstLine="0" w:firstLineChars="0"/>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供应商信用承诺函</w:t>
      </w:r>
    </w:p>
    <w:p w14:paraId="1AD64380">
      <w:pPr>
        <w:spacing w:line="240" w:lineRule="auto"/>
        <w:ind w:firstLine="0" w:firstLineChars="0"/>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 xml:space="preserve">致：  </w:t>
      </w:r>
    </w:p>
    <w:p w14:paraId="1701F35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【乙方公司    】</w:t>
      </w:r>
      <w:r>
        <w:rPr>
          <w:rFonts w:hint="eastAsia" w:ascii="仿宋_GB2312" w:hAnsi="仿宋_GB2312" w:eastAsia="仿宋_GB2312" w:cs="仿宋_GB2312"/>
          <w:color w:val="auto"/>
          <w:sz w:val="32"/>
          <w:szCs w:val="32"/>
          <w:highlight w:val="none"/>
        </w:rPr>
        <w:t>（以下简称“我司”）参与</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kern w:val="2"/>
          <w:sz w:val="32"/>
          <w:szCs w:val="32"/>
          <w:highlight w:val="none"/>
          <w:u w:val="single"/>
          <w:lang w:val="en-US" w:eastAsia="zh-CN" w:bidi="ar-SA"/>
        </w:rPr>
        <w:t>江东·梧桐里、江东·悦海、青春东岸项目未售商铺市场租金评估服务</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u w:val="single"/>
        </w:rPr>
        <w:t>竞价比选活动</w:t>
      </w:r>
      <w:r>
        <w:rPr>
          <w:rFonts w:hint="eastAsia" w:ascii="仿宋_GB2312" w:hAnsi="仿宋_GB2312" w:eastAsia="仿宋_GB2312" w:cs="仿宋_GB2312"/>
          <w:color w:val="auto"/>
          <w:sz w:val="32"/>
          <w:szCs w:val="32"/>
          <w:highlight w:val="none"/>
        </w:rPr>
        <w:t>，现我司郑重承诺如下：​</w:t>
      </w:r>
    </w:p>
    <w:p w14:paraId="023BF710">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一、截至本承诺函签署之日，我司不存在下列情形：</w:t>
      </w:r>
    </w:p>
    <w:p w14:paraId="427999D2">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（一）供应商相互串通投标或者与委托人串通投标的，供应商向委托人或者评标委员会成员行贿的；</w:t>
      </w:r>
    </w:p>
    <w:p w14:paraId="0F768977">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（二）以他人名义投标、提供虚假材料或者以其他方式弄虚作假的；</w:t>
      </w:r>
    </w:p>
    <w:p w14:paraId="2833C759">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（三）出让或者出租资格、资质证书供他人投标的；</w:t>
      </w:r>
    </w:p>
    <w:p w14:paraId="7E63DF2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（四）供应商或者其他利害关系人捏造事实、伪造材料或者以非法手段取得证明材料进行投诉，给他人造成损失的；</w:t>
      </w:r>
    </w:p>
    <w:p w14:paraId="4311CFF3">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（五）成交人将成交项目转让给他人的，将成交项目肢解后分别转让给他人的，违反《中华人民共和国招标投标法》规定将成交项目的部分主体、关键性工作分包给他人的，或者分包人再次分包的；</w:t>
      </w:r>
    </w:p>
    <w:p w14:paraId="1243E35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（六）成交人无正当理由不与委托人订立合同，在签订合同时向委托人提出附加条件，或者不按照采购文件要求提交履约保证金的；</w:t>
      </w:r>
    </w:p>
    <w:p w14:paraId="590A300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（七）拒绝有关部门监督检查或者提供虚假情况的；</w:t>
      </w:r>
    </w:p>
    <w:p w14:paraId="45BE7668">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（八）提供假冒伪劣产品；</w:t>
      </w:r>
    </w:p>
    <w:p w14:paraId="0AAE2070">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（九）无正当理由擅自变更、中止或者终止合同；</w:t>
      </w:r>
    </w:p>
    <w:p w14:paraId="2511C0F5">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（十）因供应商原因发生较大及以上安全、质量、环保事故（政府主管部门定性）；</w:t>
      </w:r>
    </w:p>
    <w:p w14:paraId="0EAEA7EC">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（十一）框架协议采购项目在框架协议期内拒绝接受采购订单数量达3个的；</w:t>
      </w:r>
    </w:p>
    <w:p w14:paraId="0B299B0F">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（十二）泄露海口市产业发展投资集团有限公司或子公司的商业秘密，产生不良影响的；</w:t>
      </w:r>
    </w:p>
    <w:p w14:paraId="5B7361B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（十三）因供应商自身或其分包单位原因在项目实施过程中产生上访、围堵、重大舆情等恶性事件，影响海口市产业发展投资集团有限公司或子公司声誉的；</w:t>
      </w:r>
    </w:p>
    <w:p w14:paraId="4CD2E4E0">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（十四）擅自更换核心团队/主设备品牌，降低配置，构成实质性违约的；</w:t>
      </w:r>
    </w:p>
    <w:p w14:paraId="70AE6E7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（十五）报价失误、漏项导致合同无法履行，又不接受调价或终止合同的；</w:t>
      </w:r>
    </w:p>
    <w:p w14:paraId="268B148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（十六）其他违反国家法律、法规行为的。</w:t>
      </w:r>
    </w:p>
    <w:p w14:paraId="70CDC6E2">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我司已充分知晓并同意：若贵单位发现我司存在上述情形之一的，无论本项目进展至何种阶段（包括但不限于响应文件递交、评审、结果公示、合同签订等），贵单位均有权将我司纳入贵单位不良信用主体名单库，并按以下方式处理：</w:t>
      </w:r>
    </w:p>
    <w:p w14:paraId="479B186C">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（一）已提交响应文件的供应商尚未完成评审的，作否决响应资格处理；</w:t>
      </w:r>
    </w:p>
    <w:p w14:paraId="2CA35168">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（二）尚未发出成交（入围）通知书的，取消成交（入围）资格；</w:t>
      </w:r>
    </w:p>
    <w:p w14:paraId="57032E6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（三）已签订框架协议的，不授予新的订单。</w:t>
      </w:r>
    </w:p>
    <w:p w14:paraId="6A62CD0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同时，我司将承担由此给委托人、采购代理机构造成的全部损失（包括但不限于重新采购的费用、工期延误损失等）。</w:t>
      </w:r>
    </w:p>
    <w:p w14:paraId="1739F8F9">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我司保证本承诺函内容真实、准确、完整，不存在任何虚假陈述、隐瞒事实或误导性表述等情形。若本承诺函内容与事实不符，我司自愿接受相关行政监督部门的处罚，并承担由此产生的全部法律责任（包括但不限于对委托人的违约赔偿责任、相应的行政处罚责任等）。</w:t>
      </w:r>
    </w:p>
    <w:p w14:paraId="72CFE5C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四、本承诺函自我司法定代表人或授权代表人签字并加盖公章之日起生效，对我司具有法律约束力。​</w:t>
      </w:r>
    </w:p>
    <w:p w14:paraId="4F8B39A1">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特此承诺！​</w:t>
      </w:r>
    </w:p>
    <w:p w14:paraId="29176A5B">
      <w:pPr>
        <w:ind w:firstLineChars="0"/>
        <w:rPr>
          <w:rFonts w:hint="eastAsia" w:ascii="仿宋_GB2312" w:hAnsi="仿宋_GB2312" w:eastAsia="仿宋_GB2312" w:cs="仿宋_GB2312"/>
          <w:color w:val="auto"/>
          <w:sz w:val="32"/>
          <w:szCs w:val="32"/>
          <w:highlight w:val="none"/>
        </w:rPr>
      </w:pPr>
    </w:p>
    <w:p w14:paraId="691B491B">
      <w:pPr>
        <w:ind w:firstLineChars="0"/>
        <w:jc w:val="righ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供应商：</w:t>
      </w:r>
    </w:p>
    <w:p w14:paraId="7CBC3986">
      <w:pPr>
        <w:ind w:firstLineChars="0"/>
        <w:jc w:val="righ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法定代表人或其委托代理人：（签字）</w:t>
      </w:r>
    </w:p>
    <w:p w14:paraId="2C817904">
      <w:pPr>
        <w:spacing w:line="240" w:lineRule="auto"/>
        <w:ind w:firstLine="0" w:firstLineChars="0"/>
        <w:jc w:val="righ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年    月   日</w:t>
      </w:r>
    </w:p>
    <w:p w14:paraId="2119E153">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678CD2C2">
      <w:pPr>
        <w:ind w:firstLine="0" w:firstLineChars="0"/>
        <w:jc w:val="left"/>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附件</w:t>
      </w:r>
      <w:r>
        <w:rPr>
          <w:rFonts w:hint="eastAsia" w:ascii="仿宋_GB2312" w:hAnsi="仿宋_GB2312" w:eastAsia="仿宋_GB2312" w:cs="仿宋_GB2312"/>
          <w:b w:val="0"/>
          <w:bCs w:val="0"/>
          <w:color w:val="auto"/>
          <w:kern w:val="2"/>
          <w:sz w:val="32"/>
          <w:szCs w:val="32"/>
          <w:highlight w:val="none"/>
          <w:lang w:val="en-US" w:eastAsia="zh-CN"/>
        </w:rPr>
        <w:t>4</w:t>
      </w:r>
      <w:r>
        <w:rPr>
          <w:rFonts w:hint="eastAsia" w:ascii="仿宋_GB2312" w:hAnsi="仿宋_GB2312" w:eastAsia="仿宋_GB2312" w:cs="仿宋_GB2312"/>
          <w:b w:val="0"/>
          <w:bCs w:val="0"/>
          <w:color w:val="auto"/>
          <w:kern w:val="2"/>
          <w:sz w:val="32"/>
          <w:szCs w:val="32"/>
          <w:highlight w:val="none"/>
        </w:rPr>
        <w:t>.</w:t>
      </w:r>
    </w:p>
    <w:p w14:paraId="262BE4B2">
      <w:pPr>
        <w:ind w:firstLine="0" w:firstLineChars="0"/>
        <w:rPr>
          <w:rFonts w:hint="eastAsia" w:hAnsi="仿宋_GB2312" w:eastAsia="仿宋_GB2312" w:cs="仿宋_GB2312"/>
          <w:color w:val="auto"/>
          <w:sz w:val="32"/>
          <w:szCs w:val="32"/>
          <w:highlight w:val="none"/>
          <w:lang w:eastAsia="zh-CN"/>
        </w:rPr>
      </w:pPr>
      <w:r>
        <w:rPr>
          <w:rFonts w:hint="eastAsia" w:hAnsi="仿宋_GB2312" w:eastAsia="仿宋_GB2312" w:cs="仿宋_GB2312"/>
          <w:color w:val="auto"/>
          <w:sz w:val="32"/>
          <w:szCs w:val="32"/>
          <w:highlight w:val="none"/>
          <w:lang w:eastAsia="zh-CN"/>
        </w:rPr>
        <w:drawing>
          <wp:inline distT="0" distB="0" distL="114300" distR="114300">
            <wp:extent cx="5256530" cy="7435850"/>
            <wp:effectExtent l="0" t="0" r="1270" b="6350"/>
            <wp:docPr id="5" name="图片 5" descr="《授权书》（合并版）扫描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授权书》（合并版）扫描件_01"/>
                    <pic:cNvPicPr>
                      <a:picLocks noChangeAspect="1"/>
                    </pic:cNvPicPr>
                  </pic:nvPicPr>
                  <pic:blipFill>
                    <a:blip r:embed="rId8"/>
                    <a:stretch>
                      <a:fillRect/>
                    </a:stretch>
                  </pic:blipFill>
                  <pic:spPr>
                    <a:xfrm>
                      <a:off x="0" y="0"/>
                      <a:ext cx="5256530" cy="7435850"/>
                    </a:xfrm>
                    <a:prstGeom prst="rect">
                      <a:avLst/>
                    </a:prstGeom>
                  </pic:spPr>
                </pic:pic>
              </a:graphicData>
            </a:graphic>
          </wp:inline>
        </w:drawing>
      </w:r>
      <w:r>
        <w:rPr>
          <w:rFonts w:hint="eastAsia" w:hAnsi="仿宋_GB2312" w:eastAsia="仿宋_GB2312" w:cs="仿宋_GB2312"/>
          <w:color w:val="auto"/>
          <w:sz w:val="32"/>
          <w:szCs w:val="32"/>
          <w:highlight w:val="none"/>
          <w:lang w:eastAsia="zh-CN"/>
        </w:rPr>
        <w:drawing>
          <wp:inline distT="0" distB="0" distL="114300" distR="114300">
            <wp:extent cx="5256530" cy="7435850"/>
            <wp:effectExtent l="0" t="0" r="1270" b="6350"/>
            <wp:docPr id="4" name="图片 4" descr="《授权书》（合并版）扫描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授权书》（合并版）扫描件_02"/>
                    <pic:cNvPicPr>
                      <a:picLocks noChangeAspect="1"/>
                    </pic:cNvPicPr>
                  </pic:nvPicPr>
                  <pic:blipFill>
                    <a:blip r:embed="rId9"/>
                    <a:stretch>
                      <a:fillRect/>
                    </a:stretch>
                  </pic:blipFill>
                  <pic:spPr>
                    <a:xfrm>
                      <a:off x="0" y="0"/>
                      <a:ext cx="5256530" cy="7435850"/>
                    </a:xfrm>
                    <a:prstGeom prst="rect">
                      <a:avLst/>
                    </a:prstGeom>
                  </pic:spPr>
                </pic:pic>
              </a:graphicData>
            </a:graphic>
          </wp:inline>
        </w:drawing>
      </w:r>
      <w:r>
        <w:rPr>
          <w:rFonts w:hint="eastAsia" w:hAnsi="仿宋_GB2312" w:eastAsia="仿宋_GB2312" w:cs="仿宋_GB2312"/>
          <w:color w:val="auto"/>
          <w:sz w:val="32"/>
          <w:szCs w:val="32"/>
          <w:highlight w:val="none"/>
          <w:lang w:eastAsia="zh-CN"/>
        </w:rPr>
        <w:drawing>
          <wp:inline distT="0" distB="0" distL="114300" distR="114300">
            <wp:extent cx="5252085" cy="7423785"/>
            <wp:effectExtent l="0" t="0" r="5715" b="5715"/>
            <wp:docPr id="2" name="图片 2" descr="《授权书》（合并版）扫描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书》（合并版）扫描件_03"/>
                    <pic:cNvPicPr>
                      <a:picLocks noChangeAspect="1"/>
                    </pic:cNvPicPr>
                  </pic:nvPicPr>
                  <pic:blipFill>
                    <a:blip r:embed="rId10"/>
                    <a:stretch>
                      <a:fillRect/>
                    </a:stretch>
                  </pic:blipFill>
                  <pic:spPr>
                    <a:xfrm>
                      <a:off x="0" y="0"/>
                      <a:ext cx="5252085" cy="7423785"/>
                    </a:xfrm>
                    <a:prstGeom prst="rect">
                      <a:avLst/>
                    </a:prstGeom>
                  </pic:spPr>
                </pic:pic>
              </a:graphicData>
            </a:graphic>
          </wp:inline>
        </w:drawing>
      </w:r>
      <w:r>
        <w:rPr>
          <w:rFonts w:hint="eastAsia" w:hAnsi="仿宋_GB2312" w:eastAsia="仿宋_GB2312" w:cs="仿宋_GB2312"/>
          <w:color w:val="auto"/>
          <w:sz w:val="32"/>
          <w:szCs w:val="32"/>
          <w:highlight w:val="none"/>
          <w:lang w:eastAsia="zh-CN"/>
        </w:rPr>
        <w:drawing>
          <wp:inline distT="0" distB="0" distL="114300" distR="114300">
            <wp:extent cx="5252085" cy="7423785"/>
            <wp:effectExtent l="0" t="0" r="5715" b="5715"/>
            <wp:docPr id="1" name="图片 1" descr="《授权书》（合并版）扫描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授权书》（合并版）扫描件_04"/>
                    <pic:cNvPicPr>
                      <a:picLocks noChangeAspect="1"/>
                    </pic:cNvPicPr>
                  </pic:nvPicPr>
                  <pic:blipFill>
                    <a:blip r:embed="rId11"/>
                    <a:stretch>
                      <a:fillRect/>
                    </a:stretch>
                  </pic:blipFill>
                  <pic:spPr>
                    <a:xfrm>
                      <a:off x="0" y="0"/>
                      <a:ext cx="5252085" cy="7423785"/>
                    </a:xfrm>
                    <a:prstGeom prst="rect">
                      <a:avLst/>
                    </a:prstGeom>
                  </pic:spPr>
                </pic:pic>
              </a:graphicData>
            </a:graphic>
          </wp:inline>
        </w:drawing>
      </w:r>
    </w:p>
    <w:p w14:paraId="067E3FF2">
      <w:pPr>
        <w:ind w:left="0" w:leftChars="0" w:firstLine="0" w:firstLineChars="0"/>
        <w:rPr>
          <w:rFonts w:hint="eastAsia" w:ascii="仿宋_GB2312" w:hAnsi="仿宋_GB2312" w:eastAsia="仿宋_GB2312" w:cs="仿宋_GB2312"/>
          <w:color w:val="auto"/>
          <w:sz w:val="32"/>
          <w:szCs w:val="32"/>
          <w:highlight w:val="none"/>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D4A4D5-34E7-4396-B288-73F5970335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94A8690-076D-431A-B8F1-F19E06B453C0}"/>
  </w:font>
  <w:font w:name="方正仿宋_GB2312">
    <w:panose1 w:val="02000000000000000000"/>
    <w:charset w:val="86"/>
    <w:family w:val="auto"/>
    <w:pitch w:val="default"/>
    <w:sig w:usb0="A00002BF" w:usb1="184F6CFA" w:usb2="00000012" w:usb3="00000000" w:csb0="00040001" w:csb1="00000000"/>
    <w:embedRegular r:id="rId3" w:fontKey="{2FCFA145-073D-418B-B6A2-3D36932440D7}"/>
  </w:font>
  <w:font w:name="仿宋_GB2312">
    <w:panose1 w:val="02010609030101010101"/>
    <w:charset w:val="86"/>
    <w:family w:val="auto"/>
    <w:pitch w:val="default"/>
    <w:sig w:usb0="00000001" w:usb1="080E0000" w:usb2="00000000" w:usb3="00000000" w:csb0="00040000" w:csb1="00000000"/>
    <w:embedRegular r:id="rId4" w:fontKey="{C3086A1B-D72F-4663-94BE-840186DD6573}"/>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auto"/>
    <w:pitch w:val="default"/>
    <w:sig w:usb0="A00002BF" w:usb1="38CF7CFA" w:usb2="00082016" w:usb3="00000000" w:csb0="00040001" w:csb1="00000000"/>
    <w:embedRegular r:id="rId5" w:fontKey="{86AB7DCA-F258-4F6C-8DB3-06499E83EA1F}"/>
  </w:font>
  <w:font w:name="楷体">
    <w:panose1 w:val="02010609060101010101"/>
    <w:charset w:val="86"/>
    <w:family w:val="auto"/>
    <w:pitch w:val="default"/>
    <w:sig w:usb0="800002BF" w:usb1="38CF7CFA" w:usb2="00000016" w:usb3="00000000" w:csb0="00040001" w:csb1="00000000"/>
    <w:embedRegular r:id="rId6" w:fontKey="{F69C8B2A-623D-4DD1-A049-26FFEDAC89C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8B880">
    <w:pPr>
      <w:pStyle w:val="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A8BA9">
                          <w:pPr>
                            <w:pStyle w:val="8"/>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 共 </w:t>
                          </w:r>
                          <w:r>
                            <w:rPr>
                              <w:sz w:val="21"/>
                              <w:szCs w:val="21"/>
                            </w:rPr>
                            <w:fldChar w:fldCharType="begin"/>
                          </w:r>
                          <w:r>
                            <w:rPr>
                              <w:sz w:val="21"/>
                              <w:szCs w:val="21"/>
                            </w:rPr>
                            <w:instrText xml:space="preserve"> NUMPAGES  \* MERGEFORMAT </w:instrText>
                          </w:r>
                          <w:r>
                            <w:rPr>
                              <w:sz w:val="21"/>
                              <w:szCs w:val="21"/>
                            </w:rPr>
                            <w:fldChar w:fldCharType="separate"/>
                          </w:r>
                          <w:r>
                            <w:rPr>
                              <w:sz w:val="21"/>
                              <w:szCs w:val="21"/>
                            </w:rPr>
                            <w:t>30</w:t>
                          </w:r>
                          <w:r>
                            <w:rPr>
                              <w:sz w:val="21"/>
                              <w:szCs w:val="21"/>
                            </w:rPr>
                            <w:fldChar w:fldCharType="end"/>
                          </w:r>
                          <w:r>
                            <w:rPr>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6EA8BA9">
                    <w:pPr>
                      <w:pStyle w:val="8"/>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 共 </w:t>
                    </w:r>
                    <w:r>
                      <w:rPr>
                        <w:sz w:val="21"/>
                        <w:szCs w:val="21"/>
                      </w:rPr>
                      <w:fldChar w:fldCharType="begin"/>
                    </w:r>
                    <w:r>
                      <w:rPr>
                        <w:sz w:val="21"/>
                        <w:szCs w:val="21"/>
                      </w:rPr>
                      <w:instrText xml:space="preserve"> NUMPAGES  \* MERGEFORMAT </w:instrText>
                    </w:r>
                    <w:r>
                      <w:rPr>
                        <w:sz w:val="21"/>
                        <w:szCs w:val="21"/>
                      </w:rPr>
                      <w:fldChar w:fldCharType="separate"/>
                    </w:r>
                    <w:r>
                      <w:rPr>
                        <w:sz w:val="21"/>
                        <w:szCs w:val="21"/>
                      </w:rPr>
                      <w:t>30</w:t>
                    </w:r>
                    <w:r>
                      <w:rPr>
                        <w:sz w:val="21"/>
                        <w:szCs w:val="21"/>
                      </w:rPr>
                      <w:fldChar w:fldCharType="end"/>
                    </w:r>
                    <w:r>
                      <w:rPr>
                        <w:sz w:val="21"/>
                        <w:szCs w:val="21"/>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5F745">
    <w:pPr>
      <w:pStyle w:val="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5109C4"/>
    <w:multiLevelType w:val="multilevel"/>
    <w:tmpl w:val="275109C4"/>
    <w:lvl w:ilvl="0" w:tentative="0">
      <w:start w:val="1"/>
      <w:numFmt w:val="chineseCountingThousand"/>
      <w:pStyle w:val="2"/>
      <w:lvlText w:val="第%1章"/>
      <w:lvlJc w:val="left"/>
      <w:pPr>
        <w:ind w:left="420" w:hanging="420"/>
      </w:pPr>
      <w:rPr>
        <w:rFonts w:hint="eastAsia"/>
      </w:rPr>
    </w:lvl>
    <w:lvl w:ilvl="1" w:tentative="0">
      <w:start w:val="1"/>
      <w:numFmt w:val="chineseCountingThousand"/>
      <w:lvlText w:val="%2、"/>
      <w:lvlJc w:val="left"/>
      <w:pPr>
        <w:ind w:left="3256" w:hanging="420"/>
      </w:pPr>
      <w:rPr>
        <w:rFonts w:hint="eastAsia"/>
        <w:b/>
      </w:rPr>
    </w:lvl>
    <w:lvl w:ilvl="2" w:tentative="0">
      <w:start w:val="1"/>
      <w:numFmt w:val="chineseCountingThousand"/>
      <w:lvlText w:val="（%3）"/>
      <w:lvlJc w:val="left"/>
      <w:pPr>
        <w:ind w:left="1260" w:hanging="420"/>
      </w:pPr>
      <w:rPr>
        <w:rFonts w:hint="eastAsia"/>
        <w:b/>
        <w:sz w:val="28"/>
        <w:szCs w:val="28"/>
        <w:lang w:val="en-US"/>
      </w:rPr>
    </w:lvl>
    <w:lvl w:ilvl="3" w:tentative="0">
      <w:start w:val="1"/>
      <w:numFmt w:val="decimal"/>
      <w:lvlText w:val="%4)"/>
      <w:lvlJc w:val="left"/>
      <w:pPr>
        <w:ind w:left="3114"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documentProtection w:edit="readOnly"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iM2FmZDRjNWFjNmMzYjlmN2M4M2M2M2VkNDlkNmIifQ=="/>
  </w:docVars>
  <w:rsids>
    <w:rsidRoot w:val="00172A27"/>
    <w:rsid w:val="000058FA"/>
    <w:rsid w:val="00035509"/>
    <w:rsid w:val="00071317"/>
    <w:rsid w:val="000B7C0B"/>
    <w:rsid w:val="000E59FD"/>
    <w:rsid w:val="00100829"/>
    <w:rsid w:val="001033AA"/>
    <w:rsid w:val="00161289"/>
    <w:rsid w:val="001665E6"/>
    <w:rsid w:val="00167008"/>
    <w:rsid w:val="0017124C"/>
    <w:rsid w:val="00172AA3"/>
    <w:rsid w:val="001A0241"/>
    <w:rsid w:val="001F0B1A"/>
    <w:rsid w:val="001F5C65"/>
    <w:rsid w:val="00231960"/>
    <w:rsid w:val="00232BF6"/>
    <w:rsid w:val="00241545"/>
    <w:rsid w:val="002568E9"/>
    <w:rsid w:val="00281280"/>
    <w:rsid w:val="002B04F9"/>
    <w:rsid w:val="002E4D15"/>
    <w:rsid w:val="00372792"/>
    <w:rsid w:val="00375CD5"/>
    <w:rsid w:val="003C68FB"/>
    <w:rsid w:val="003E6D1A"/>
    <w:rsid w:val="003F1E01"/>
    <w:rsid w:val="003F55DB"/>
    <w:rsid w:val="00441A2F"/>
    <w:rsid w:val="00482740"/>
    <w:rsid w:val="004828E1"/>
    <w:rsid w:val="0048727B"/>
    <w:rsid w:val="004A5C67"/>
    <w:rsid w:val="004C3073"/>
    <w:rsid w:val="004E796C"/>
    <w:rsid w:val="004F2B9E"/>
    <w:rsid w:val="005024C6"/>
    <w:rsid w:val="005077BC"/>
    <w:rsid w:val="005139EA"/>
    <w:rsid w:val="00557738"/>
    <w:rsid w:val="00576323"/>
    <w:rsid w:val="00580EFC"/>
    <w:rsid w:val="005C7203"/>
    <w:rsid w:val="00600B12"/>
    <w:rsid w:val="00624B12"/>
    <w:rsid w:val="00677AD4"/>
    <w:rsid w:val="006A3BA2"/>
    <w:rsid w:val="006C0A78"/>
    <w:rsid w:val="006D1CAA"/>
    <w:rsid w:val="006E452C"/>
    <w:rsid w:val="00703087"/>
    <w:rsid w:val="007902A9"/>
    <w:rsid w:val="007924C3"/>
    <w:rsid w:val="007A2DF1"/>
    <w:rsid w:val="007F1093"/>
    <w:rsid w:val="00806F1A"/>
    <w:rsid w:val="008240C8"/>
    <w:rsid w:val="008244F8"/>
    <w:rsid w:val="00830A36"/>
    <w:rsid w:val="009030ED"/>
    <w:rsid w:val="00924631"/>
    <w:rsid w:val="009325CD"/>
    <w:rsid w:val="009346E9"/>
    <w:rsid w:val="00976D74"/>
    <w:rsid w:val="009900F4"/>
    <w:rsid w:val="0099139C"/>
    <w:rsid w:val="009A65FB"/>
    <w:rsid w:val="009C2912"/>
    <w:rsid w:val="009D2D2D"/>
    <w:rsid w:val="009E1D76"/>
    <w:rsid w:val="009E22A7"/>
    <w:rsid w:val="009F1173"/>
    <w:rsid w:val="009F5EF4"/>
    <w:rsid w:val="00A72366"/>
    <w:rsid w:val="00A879C7"/>
    <w:rsid w:val="00AA28B9"/>
    <w:rsid w:val="00AA4A0A"/>
    <w:rsid w:val="00AB065B"/>
    <w:rsid w:val="00AB323C"/>
    <w:rsid w:val="00AB5A5A"/>
    <w:rsid w:val="00AE55AB"/>
    <w:rsid w:val="00AF7F2C"/>
    <w:rsid w:val="00B61D7D"/>
    <w:rsid w:val="00BF080B"/>
    <w:rsid w:val="00C502DB"/>
    <w:rsid w:val="00C5111F"/>
    <w:rsid w:val="00C94109"/>
    <w:rsid w:val="00CD61B8"/>
    <w:rsid w:val="00D20AE5"/>
    <w:rsid w:val="00D33546"/>
    <w:rsid w:val="00D34F08"/>
    <w:rsid w:val="00D50EF4"/>
    <w:rsid w:val="00DB20A0"/>
    <w:rsid w:val="00DB3256"/>
    <w:rsid w:val="00DD3FE9"/>
    <w:rsid w:val="00DD516C"/>
    <w:rsid w:val="00DE1A93"/>
    <w:rsid w:val="00E051AF"/>
    <w:rsid w:val="00E7724D"/>
    <w:rsid w:val="00E77A91"/>
    <w:rsid w:val="00E92C01"/>
    <w:rsid w:val="00EB78DE"/>
    <w:rsid w:val="00ED394F"/>
    <w:rsid w:val="00EE4F73"/>
    <w:rsid w:val="00EF6580"/>
    <w:rsid w:val="00F244EF"/>
    <w:rsid w:val="00F3234F"/>
    <w:rsid w:val="00F61632"/>
    <w:rsid w:val="00F62832"/>
    <w:rsid w:val="00F65AAC"/>
    <w:rsid w:val="00F90B7C"/>
    <w:rsid w:val="00F93A0E"/>
    <w:rsid w:val="02A061F0"/>
    <w:rsid w:val="02B95F3C"/>
    <w:rsid w:val="0301396B"/>
    <w:rsid w:val="039C7A55"/>
    <w:rsid w:val="04AD6392"/>
    <w:rsid w:val="04B557B4"/>
    <w:rsid w:val="053F69CD"/>
    <w:rsid w:val="054F58F6"/>
    <w:rsid w:val="085D3B95"/>
    <w:rsid w:val="08826AE9"/>
    <w:rsid w:val="08906861"/>
    <w:rsid w:val="096D45ED"/>
    <w:rsid w:val="09AC3DC6"/>
    <w:rsid w:val="0A3815E4"/>
    <w:rsid w:val="0A79472F"/>
    <w:rsid w:val="0AA0729E"/>
    <w:rsid w:val="0B7A42BB"/>
    <w:rsid w:val="0B886D75"/>
    <w:rsid w:val="0BFE14B9"/>
    <w:rsid w:val="0CBB2DDD"/>
    <w:rsid w:val="0CF06B92"/>
    <w:rsid w:val="0D0F4F91"/>
    <w:rsid w:val="0DF95A7C"/>
    <w:rsid w:val="0F1467D4"/>
    <w:rsid w:val="10C36704"/>
    <w:rsid w:val="10DE709A"/>
    <w:rsid w:val="1122167C"/>
    <w:rsid w:val="116D7709"/>
    <w:rsid w:val="122272CD"/>
    <w:rsid w:val="122336A4"/>
    <w:rsid w:val="12A74815"/>
    <w:rsid w:val="134E6759"/>
    <w:rsid w:val="13645B91"/>
    <w:rsid w:val="13936782"/>
    <w:rsid w:val="14082046"/>
    <w:rsid w:val="14617C0D"/>
    <w:rsid w:val="149503B7"/>
    <w:rsid w:val="14A3422E"/>
    <w:rsid w:val="14F36178"/>
    <w:rsid w:val="15A85C8A"/>
    <w:rsid w:val="167F206F"/>
    <w:rsid w:val="16DB1D29"/>
    <w:rsid w:val="184367B5"/>
    <w:rsid w:val="1999328D"/>
    <w:rsid w:val="19EF056A"/>
    <w:rsid w:val="1B6D590A"/>
    <w:rsid w:val="1B8F3DB2"/>
    <w:rsid w:val="1BFD0D1C"/>
    <w:rsid w:val="1CA64AB4"/>
    <w:rsid w:val="1CC920FF"/>
    <w:rsid w:val="1DF44260"/>
    <w:rsid w:val="1E1F29E2"/>
    <w:rsid w:val="1E2A7DC2"/>
    <w:rsid w:val="1E381060"/>
    <w:rsid w:val="1EF3323E"/>
    <w:rsid w:val="1F2C36C6"/>
    <w:rsid w:val="2007798F"/>
    <w:rsid w:val="20B7239C"/>
    <w:rsid w:val="20DE359A"/>
    <w:rsid w:val="212B6828"/>
    <w:rsid w:val="21601FD3"/>
    <w:rsid w:val="21D73DBD"/>
    <w:rsid w:val="227855A0"/>
    <w:rsid w:val="22DB78DD"/>
    <w:rsid w:val="22F64717"/>
    <w:rsid w:val="231A32A7"/>
    <w:rsid w:val="23996166"/>
    <w:rsid w:val="249C1845"/>
    <w:rsid w:val="252E4B0E"/>
    <w:rsid w:val="2553777E"/>
    <w:rsid w:val="28CF57EE"/>
    <w:rsid w:val="291853E7"/>
    <w:rsid w:val="29712D49"/>
    <w:rsid w:val="2A4A7B78"/>
    <w:rsid w:val="2A7E3D28"/>
    <w:rsid w:val="2B28200E"/>
    <w:rsid w:val="2C155C0E"/>
    <w:rsid w:val="2C3D3ADA"/>
    <w:rsid w:val="2C551892"/>
    <w:rsid w:val="2D19172E"/>
    <w:rsid w:val="2D662110"/>
    <w:rsid w:val="2DB068A4"/>
    <w:rsid w:val="2E206AEC"/>
    <w:rsid w:val="2E652ACD"/>
    <w:rsid w:val="2EF14CEB"/>
    <w:rsid w:val="2F6E1C2C"/>
    <w:rsid w:val="2FA53714"/>
    <w:rsid w:val="2FA820EF"/>
    <w:rsid w:val="2FAB2FE1"/>
    <w:rsid w:val="309317F7"/>
    <w:rsid w:val="30A6777C"/>
    <w:rsid w:val="30BC0D4E"/>
    <w:rsid w:val="30BD16C5"/>
    <w:rsid w:val="30CC4192"/>
    <w:rsid w:val="30CD50C6"/>
    <w:rsid w:val="3165072E"/>
    <w:rsid w:val="31A14318"/>
    <w:rsid w:val="32193F7E"/>
    <w:rsid w:val="323F65B7"/>
    <w:rsid w:val="336A2CE3"/>
    <w:rsid w:val="33A67A93"/>
    <w:rsid w:val="33D20888"/>
    <w:rsid w:val="347D4635"/>
    <w:rsid w:val="35773495"/>
    <w:rsid w:val="358931C8"/>
    <w:rsid w:val="359C280A"/>
    <w:rsid w:val="359D4419"/>
    <w:rsid w:val="3627364D"/>
    <w:rsid w:val="36633261"/>
    <w:rsid w:val="36B20336"/>
    <w:rsid w:val="36CD37EB"/>
    <w:rsid w:val="37093048"/>
    <w:rsid w:val="3710594F"/>
    <w:rsid w:val="372D65AB"/>
    <w:rsid w:val="378809CE"/>
    <w:rsid w:val="37DA41AF"/>
    <w:rsid w:val="38796956"/>
    <w:rsid w:val="38C15F2B"/>
    <w:rsid w:val="39CA531C"/>
    <w:rsid w:val="39EC3D26"/>
    <w:rsid w:val="3A4A1178"/>
    <w:rsid w:val="3AA668A1"/>
    <w:rsid w:val="3AC62459"/>
    <w:rsid w:val="3AEB471A"/>
    <w:rsid w:val="3AF410E4"/>
    <w:rsid w:val="3D404AB5"/>
    <w:rsid w:val="3DB17760"/>
    <w:rsid w:val="3E2B6048"/>
    <w:rsid w:val="3EFC6445"/>
    <w:rsid w:val="3F051B12"/>
    <w:rsid w:val="3FAE5A30"/>
    <w:rsid w:val="3FB54693"/>
    <w:rsid w:val="40415C48"/>
    <w:rsid w:val="40AF61D9"/>
    <w:rsid w:val="40B91EA3"/>
    <w:rsid w:val="413B5CBF"/>
    <w:rsid w:val="41775CA6"/>
    <w:rsid w:val="41E27AF9"/>
    <w:rsid w:val="41FD11C6"/>
    <w:rsid w:val="4271139E"/>
    <w:rsid w:val="42F56341"/>
    <w:rsid w:val="43483D88"/>
    <w:rsid w:val="43505326"/>
    <w:rsid w:val="444B6A40"/>
    <w:rsid w:val="4464023A"/>
    <w:rsid w:val="44923D6B"/>
    <w:rsid w:val="449522C9"/>
    <w:rsid w:val="45513D03"/>
    <w:rsid w:val="45A007E6"/>
    <w:rsid w:val="46C57599"/>
    <w:rsid w:val="46D729AA"/>
    <w:rsid w:val="47086643"/>
    <w:rsid w:val="47732B2D"/>
    <w:rsid w:val="49D558FE"/>
    <w:rsid w:val="4A7638C4"/>
    <w:rsid w:val="4A767978"/>
    <w:rsid w:val="4A7A7858"/>
    <w:rsid w:val="4B0C5FAB"/>
    <w:rsid w:val="4BE070CD"/>
    <w:rsid w:val="4C147838"/>
    <w:rsid w:val="4C6D519A"/>
    <w:rsid w:val="4CBE0994"/>
    <w:rsid w:val="4CCA2622"/>
    <w:rsid w:val="4D4230E2"/>
    <w:rsid w:val="4D8578AF"/>
    <w:rsid w:val="4E127DA7"/>
    <w:rsid w:val="4E2875CB"/>
    <w:rsid w:val="4E2D7AE6"/>
    <w:rsid w:val="4E9A1292"/>
    <w:rsid w:val="4FE35216"/>
    <w:rsid w:val="50545FFA"/>
    <w:rsid w:val="506150EA"/>
    <w:rsid w:val="511D7DB4"/>
    <w:rsid w:val="51F92090"/>
    <w:rsid w:val="523135F2"/>
    <w:rsid w:val="524B1ADA"/>
    <w:rsid w:val="52530420"/>
    <w:rsid w:val="528D5C4E"/>
    <w:rsid w:val="52FB52AE"/>
    <w:rsid w:val="536650CE"/>
    <w:rsid w:val="536A6FCA"/>
    <w:rsid w:val="53CA5C0F"/>
    <w:rsid w:val="53DE1AF7"/>
    <w:rsid w:val="53F457F2"/>
    <w:rsid w:val="53FC04FC"/>
    <w:rsid w:val="547C02D2"/>
    <w:rsid w:val="54F00716"/>
    <w:rsid w:val="553B5E36"/>
    <w:rsid w:val="556C4241"/>
    <w:rsid w:val="55CB6A9B"/>
    <w:rsid w:val="55EC6245"/>
    <w:rsid w:val="57007C70"/>
    <w:rsid w:val="572D3C16"/>
    <w:rsid w:val="58703C37"/>
    <w:rsid w:val="58BA4DF1"/>
    <w:rsid w:val="58F54FE2"/>
    <w:rsid w:val="5ABE5EF2"/>
    <w:rsid w:val="5B5C6B06"/>
    <w:rsid w:val="5B695E6A"/>
    <w:rsid w:val="5B8B1199"/>
    <w:rsid w:val="5B8F2A37"/>
    <w:rsid w:val="5C91211C"/>
    <w:rsid w:val="5CE768A3"/>
    <w:rsid w:val="5F1DD6E8"/>
    <w:rsid w:val="5F2E07B9"/>
    <w:rsid w:val="5FFF17DF"/>
    <w:rsid w:val="602F5A88"/>
    <w:rsid w:val="60911000"/>
    <w:rsid w:val="60BD3BA3"/>
    <w:rsid w:val="61AA39C3"/>
    <w:rsid w:val="62FA2AA0"/>
    <w:rsid w:val="64174E1C"/>
    <w:rsid w:val="64925346"/>
    <w:rsid w:val="65EC2499"/>
    <w:rsid w:val="66B07D06"/>
    <w:rsid w:val="66CD08B8"/>
    <w:rsid w:val="66F8514F"/>
    <w:rsid w:val="679D5209"/>
    <w:rsid w:val="686D2352"/>
    <w:rsid w:val="692567BC"/>
    <w:rsid w:val="698A6CDC"/>
    <w:rsid w:val="6AA24659"/>
    <w:rsid w:val="6AAA34C3"/>
    <w:rsid w:val="6AF07D80"/>
    <w:rsid w:val="6B361121"/>
    <w:rsid w:val="6BAF4A30"/>
    <w:rsid w:val="6BE1634F"/>
    <w:rsid w:val="6BF54B38"/>
    <w:rsid w:val="6C376EFF"/>
    <w:rsid w:val="6CEF4A5E"/>
    <w:rsid w:val="6D567859"/>
    <w:rsid w:val="6E072901"/>
    <w:rsid w:val="6E455DD4"/>
    <w:rsid w:val="6E5E4D4D"/>
    <w:rsid w:val="6EEB63A5"/>
    <w:rsid w:val="6FC31752"/>
    <w:rsid w:val="6FD74555"/>
    <w:rsid w:val="6FEB0D86"/>
    <w:rsid w:val="7031797E"/>
    <w:rsid w:val="703F33DD"/>
    <w:rsid w:val="710A7485"/>
    <w:rsid w:val="711A294B"/>
    <w:rsid w:val="71B65794"/>
    <w:rsid w:val="71CF11CD"/>
    <w:rsid w:val="72651A08"/>
    <w:rsid w:val="72BA5BFC"/>
    <w:rsid w:val="730859C1"/>
    <w:rsid w:val="742C4D57"/>
    <w:rsid w:val="74D147F9"/>
    <w:rsid w:val="74F735D0"/>
    <w:rsid w:val="75660855"/>
    <w:rsid w:val="7575A470"/>
    <w:rsid w:val="76241FA6"/>
    <w:rsid w:val="767F8043"/>
    <w:rsid w:val="76BD7421"/>
    <w:rsid w:val="77B70D72"/>
    <w:rsid w:val="77F57C6E"/>
    <w:rsid w:val="782E147B"/>
    <w:rsid w:val="78302AF9"/>
    <w:rsid w:val="78410C40"/>
    <w:rsid w:val="78F61EF0"/>
    <w:rsid w:val="790C5967"/>
    <w:rsid w:val="79BC0E24"/>
    <w:rsid w:val="7A472603"/>
    <w:rsid w:val="7AE25683"/>
    <w:rsid w:val="7B3179A2"/>
    <w:rsid w:val="7BB816DF"/>
    <w:rsid w:val="7BB92842"/>
    <w:rsid w:val="7BC34BD9"/>
    <w:rsid w:val="7BDD2699"/>
    <w:rsid w:val="7C1E10CF"/>
    <w:rsid w:val="7C745FE4"/>
    <w:rsid w:val="7C7575D0"/>
    <w:rsid w:val="7CCE3126"/>
    <w:rsid w:val="7D040276"/>
    <w:rsid w:val="7D716E4F"/>
    <w:rsid w:val="7D80269C"/>
    <w:rsid w:val="7DC71FDC"/>
    <w:rsid w:val="7E453CF8"/>
    <w:rsid w:val="7FB3D333"/>
    <w:rsid w:val="7FC70142"/>
    <w:rsid w:val="7FFB8720"/>
    <w:rsid w:val="9FEF7B2B"/>
    <w:rsid w:val="BE3B60A5"/>
    <w:rsid w:val="BFBB6A46"/>
    <w:rsid w:val="D1FBB22D"/>
    <w:rsid w:val="D6F77190"/>
    <w:rsid w:val="EFFD18F6"/>
    <w:rsid w:val="F73DD60D"/>
    <w:rsid w:val="F8FDDD5C"/>
    <w:rsid w:val="FADF20CD"/>
    <w:rsid w:val="FF7BCB67"/>
    <w:rsid w:val="FF7F4BA7"/>
    <w:rsid w:val="FF8DC81C"/>
    <w:rsid w:val="FFF9C37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_GB2312" w:hAnsi="Calibri" w:eastAsia="宋体" w:cs="宋体"/>
      <w:kern w:val="2"/>
      <w:sz w:val="28"/>
      <w:szCs w:val="28"/>
      <w:lang w:val="en-US" w:eastAsia="zh-CN" w:bidi="ar-SA"/>
    </w:rPr>
  </w:style>
  <w:style w:type="paragraph" w:styleId="2">
    <w:name w:val="heading 1"/>
    <w:basedOn w:val="1"/>
    <w:next w:val="1"/>
    <w:qFormat/>
    <w:uiPriority w:val="0"/>
    <w:pPr>
      <w:keepNext/>
      <w:keepLines/>
      <w:numPr>
        <w:ilvl w:val="0"/>
        <w:numId w:val="1"/>
      </w:numPr>
      <w:spacing w:beforeLines="50" w:afterLines="100"/>
      <w:ind w:firstLine="0" w:firstLineChars="0"/>
      <w:jc w:val="center"/>
      <w:outlineLvl w:val="0"/>
    </w:pPr>
    <w:rPr>
      <w:b/>
      <w:bCs/>
      <w:kern w:val="44"/>
      <w:sz w:val="36"/>
      <w:szCs w:val="44"/>
    </w:rPr>
  </w:style>
  <w:style w:type="paragraph" w:styleId="3">
    <w:name w:val="heading 3"/>
    <w:basedOn w:val="1"/>
    <w:next w:val="1"/>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rFonts w:ascii="Times New Roman"/>
      <w:sz w:val="21"/>
    </w:rPr>
  </w:style>
  <w:style w:type="paragraph" w:styleId="5">
    <w:name w:val="annotation text"/>
    <w:basedOn w:val="1"/>
    <w:link w:val="24"/>
    <w:qFormat/>
    <w:uiPriority w:val="0"/>
    <w:pPr>
      <w:jc w:val="left"/>
    </w:pPr>
  </w:style>
  <w:style w:type="paragraph" w:styleId="6">
    <w:name w:val="Body Text"/>
    <w:next w:val="1"/>
    <w:unhideWhenUsed/>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7">
    <w:name w:val="Balloon Text"/>
    <w:basedOn w:val="1"/>
    <w:link w:val="23"/>
    <w:qFormat/>
    <w:uiPriority w:val="99"/>
    <w:pPr>
      <w:spacing w:line="240" w:lineRule="auto"/>
    </w:pPr>
    <w:rPr>
      <w:rFonts w:ascii="宋体"/>
      <w:sz w:val="18"/>
      <w:szCs w:val="18"/>
    </w:rPr>
  </w:style>
  <w:style w:type="paragraph" w:styleId="8">
    <w:name w:val="footer"/>
    <w:basedOn w:val="1"/>
    <w:link w:val="21"/>
    <w:qFormat/>
    <w:uiPriority w:val="99"/>
    <w:pPr>
      <w:tabs>
        <w:tab w:val="center" w:pos="4153"/>
        <w:tab w:val="right" w:pos="8306"/>
      </w:tabs>
      <w:snapToGrid w:val="0"/>
      <w:spacing w:line="240" w:lineRule="auto"/>
      <w:jc w:val="left"/>
    </w:pPr>
    <w:rPr>
      <w:sz w:val="18"/>
      <w:szCs w:val="18"/>
    </w:rPr>
  </w:style>
  <w:style w:type="paragraph" w:styleId="9">
    <w:name w:val="header"/>
    <w:basedOn w:val="1"/>
    <w:link w:val="20"/>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annotation subject"/>
    <w:basedOn w:val="5"/>
    <w:next w:val="5"/>
    <w:link w:val="25"/>
    <w:qFormat/>
    <w:uiPriority w:val="0"/>
    <w:rPr>
      <w:b/>
      <w:bCs/>
    </w:rPr>
  </w:style>
  <w:style w:type="table" w:styleId="13">
    <w:name w:val="Table Grid"/>
    <w:basedOn w:val="1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unhideWhenUsed/>
    <w:qFormat/>
    <w:uiPriority w:val="99"/>
    <w:rPr>
      <w:color w:val="0000FF"/>
      <w:u w:val="single"/>
    </w:rPr>
  </w:style>
  <w:style w:type="character" w:styleId="17">
    <w:name w:val="annotation reference"/>
    <w:basedOn w:val="14"/>
    <w:qFormat/>
    <w:uiPriority w:val="0"/>
    <w:rPr>
      <w:sz w:val="21"/>
      <w:szCs w:val="21"/>
    </w:rPr>
  </w:style>
  <w:style w:type="paragraph" w:customStyle="1" w:styleId="18">
    <w:name w:val="p0"/>
    <w:basedOn w:val="1"/>
    <w:qFormat/>
    <w:uiPriority w:val="0"/>
    <w:pPr>
      <w:widowControl/>
      <w:spacing w:line="240" w:lineRule="auto"/>
      <w:ind w:firstLine="0" w:firstLineChars="0"/>
    </w:pPr>
    <w:rPr>
      <w:rFonts w:ascii="Times New Roman" w:hAnsi="Times New Roman"/>
      <w:kern w:val="0"/>
      <w:sz w:val="21"/>
      <w:szCs w:val="21"/>
    </w:rPr>
  </w:style>
  <w:style w:type="character" w:customStyle="1" w:styleId="19">
    <w:name w:val="15"/>
    <w:qFormat/>
    <w:uiPriority w:val="0"/>
    <w:rPr>
      <w:rFonts w:hint="default" w:ascii="Times New Roman" w:hAnsi="Times New Roman" w:cs="Times New Roman"/>
      <w:color w:val="464445"/>
      <w:u w:val="none"/>
    </w:rPr>
  </w:style>
  <w:style w:type="character" w:customStyle="1" w:styleId="20">
    <w:name w:val="页眉 字符"/>
    <w:basedOn w:val="14"/>
    <w:link w:val="9"/>
    <w:qFormat/>
    <w:uiPriority w:val="99"/>
    <w:rPr>
      <w:rFonts w:ascii="仿宋_GB2312" w:hAnsi="Calibri" w:cs="宋体"/>
      <w:kern w:val="2"/>
      <w:sz w:val="18"/>
      <w:szCs w:val="18"/>
    </w:rPr>
  </w:style>
  <w:style w:type="character" w:customStyle="1" w:styleId="21">
    <w:name w:val="页脚 字符"/>
    <w:basedOn w:val="14"/>
    <w:link w:val="8"/>
    <w:qFormat/>
    <w:uiPriority w:val="99"/>
    <w:rPr>
      <w:rFonts w:ascii="仿宋_GB2312" w:hAnsi="Calibri" w:cs="宋体"/>
      <w:kern w:val="2"/>
      <w:sz w:val="18"/>
      <w:szCs w:val="18"/>
    </w:rPr>
  </w:style>
  <w:style w:type="paragraph" w:styleId="22">
    <w:name w:val="List Paragraph"/>
    <w:basedOn w:val="1"/>
    <w:qFormat/>
    <w:uiPriority w:val="99"/>
    <w:pPr>
      <w:ind w:firstLine="420"/>
    </w:pPr>
  </w:style>
  <w:style w:type="character" w:customStyle="1" w:styleId="23">
    <w:name w:val="批注框文本 字符"/>
    <w:basedOn w:val="14"/>
    <w:link w:val="7"/>
    <w:qFormat/>
    <w:uiPriority w:val="99"/>
    <w:rPr>
      <w:rFonts w:ascii="宋体" w:hAnsi="Calibri" w:cs="宋体"/>
      <w:kern w:val="2"/>
      <w:sz w:val="18"/>
      <w:szCs w:val="18"/>
    </w:rPr>
  </w:style>
  <w:style w:type="character" w:customStyle="1" w:styleId="24">
    <w:name w:val="批注文字 字符"/>
    <w:basedOn w:val="14"/>
    <w:link w:val="5"/>
    <w:qFormat/>
    <w:uiPriority w:val="0"/>
    <w:rPr>
      <w:rFonts w:ascii="仿宋_GB2312" w:cs="宋体"/>
      <w:kern w:val="2"/>
      <w:sz w:val="28"/>
      <w:szCs w:val="28"/>
    </w:rPr>
  </w:style>
  <w:style w:type="character" w:customStyle="1" w:styleId="25">
    <w:name w:val="批注主题 字符"/>
    <w:basedOn w:val="24"/>
    <w:link w:val="11"/>
    <w:qFormat/>
    <w:uiPriority w:val="0"/>
    <w:rPr>
      <w:rFonts w:ascii="仿宋_GB2312" w:cs="宋体"/>
      <w:b/>
      <w:bCs/>
      <w:kern w:val="2"/>
      <w:sz w:val="28"/>
      <w:szCs w:val="28"/>
    </w:rPr>
  </w:style>
  <w:style w:type="paragraph" w:customStyle="1" w:styleId="26">
    <w:name w:val="_Style 7"/>
    <w:basedOn w:val="1"/>
    <w:next w:val="22"/>
    <w:qFormat/>
    <w:uiPriority w:val="99"/>
    <w:pPr>
      <w:ind w:firstLine="420"/>
    </w:pPr>
  </w:style>
  <w:style w:type="paragraph" w:customStyle="1" w:styleId="2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8">
    <w:name w:val="样式 首行缩进:  2 字符"/>
    <w:basedOn w:val="1"/>
    <w:qFormat/>
    <w:uiPriority w:val="0"/>
    <w:pPr>
      <w:ind w:firstLine="560"/>
    </w:pPr>
    <w:rPr>
      <w:rFonts w:eastAsia="仿宋_GB2312"/>
      <w:sz w:val="24"/>
    </w:rPr>
  </w:style>
  <w:style w:type="paragraph" w:customStyle="1" w:styleId="29">
    <w:name w:val="Revision"/>
    <w:hidden/>
    <w:unhideWhenUsed/>
    <w:qFormat/>
    <w:uiPriority w:val="99"/>
    <w:rPr>
      <w:rFonts w:ascii="仿宋_GB2312" w:hAnsi="Calibri" w:eastAsia="宋体" w:cs="宋体"/>
      <w:kern w:val="2"/>
      <w:sz w:val="28"/>
      <w:szCs w:val="28"/>
      <w:lang w:val="en-US" w:eastAsia="zh-CN" w:bidi="ar-SA"/>
    </w:rPr>
  </w:style>
  <w:style w:type="paragraph" w:customStyle="1" w:styleId="30">
    <w:name w:val="1"/>
    <w:basedOn w:val="1"/>
    <w:qFormat/>
    <w:uiPriority w:val="0"/>
  </w:style>
  <w:style w:type="paragraph" w:customStyle="1" w:styleId="31">
    <w:name w:val="2"/>
    <w:qFormat/>
    <w:uiPriority w:val="0"/>
    <w:pPr>
      <w:spacing w:before="120" w:after="120" w:line="288" w:lineRule="auto"/>
    </w:pPr>
    <w:rPr>
      <w:rFonts w:ascii="Arial" w:hAnsi="Arial" w:eastAsia="等线" w:cs="Arial"/>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11386</Words>
  <Characters>11722</Characters>
  <Lines>1</Lines>
  <Paragraphs>1</Paragraphs>
  <TotalTime>19</TotalTime>
  <ScaleCrop>false</ScaleCrop>
  <LinksUpToDate>false</LinksUpToDate>
  <CharactersWithSpaces>11855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2021-01-10T01:34:00Z</dcterms:created>
  <dc:creator>陈 凌</dc:creator>
  <cp:lastModifiedBy>冯某某</cp:lastModifiedBy>
  <dcterms:modified xsi:type="dcterms:W3CDTF">2026-05-07T10:04:05Z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Key">
    <vt:lpwstr>StandardDocuments</vt:lpwstr>
  </property>
  <property fmtid="{D5CDD505-2E9C-101B-9397-08002B2CF9AE}" pid="3" name="appKeyGuid">
    <vt:lpwstr>11A65BAF-3D51-4723-9B65-1619C6E8A358</vt:lpwstr>
  </property>
  <property fmtid="{D5CDD505-2E9C-101B-9397-08002B2CF9AE}" pid="4" name="ICV">
    <vt:lpwstr>18D5E175BF27437FB5326620E61DEDBE_13</vt:lpwstr>
  </property>
  <property fmtid="{D5CDD505-2E9C-101B-9397-08002B2CF9AE}" pid="5" name="KSOProductBuildVer">
    <vt:lpwstr>2052-12.1.0.25865</vt:lpwstr>
  </property>
  <property fmtid="{D5CDD505-2E9C-101B-9397-08002B2CF9AE}" pid="6" name="KSOTemplateDocerSaveRecord">
    <vt:lpwstr>eyJoZGlkIjoiMGRlMzE1NmU5NGVjNjg2MzIyYjQyMTM1ZjkxNWYxOTEiLCJ1c2VySWQiOiI1MDg1NTkzOTMifQ==</vt:lpwstr>
  </property>
</Properties>
</file>