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ED96">
      <w:pPr>
        <w:spacing w:line="576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需求任务书</w:t>
      </w:r>
    </w:p>
    <w:p w14:paraId="5D7BD883">
      <w:pPr>
        <w:spacing w:line="576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4D576576">
      <w:pPr>
        <w:spacing w:line="576" w:lineRule="exact"/>
        <w:ind w:firstLine="640"/>
        <w:rPr>
          <w:rFonts w:hint="eastAsia" w:hAnsi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</w:rPr>
        <w:t>采购人委托2家供应商在合作期间，同时提供江东·梧桐里项目探盘视频与直播相关服务事宜，服务内容包含：直播服务、小视频服务及新媒体达人启动活动，且供应商需通过直播及短视频推广促成有效到访，助力项目成交。</w:t>
      </w:r>
    </w:p>
    <w:p w14:paraId="66E0DC29">
      <w:pPr>
        <w:spacing w:line="576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二、服务需求</w:t>
      </w:r>
    </w:p>
    <w:p w14:paraId="6D9C82BC">
      <w:pPr>
        <w:pStyle w:val="12"/>
        <w:spacing w:before="0" w:after="0"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1.服务范围：</w:t>
      </w:r>
    </w:p>
    <w:p w14:paraId="489BB7F2">
      <w:pPr>
        <w:pStyle w:val="12"/>
        <w:spacing w:before="0"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供应商依据采购人要求为项目“江东·梧桐里”提供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探盘视频与直播</w:t>
      </w:r>
      <w:r>
        <w:rPr>
          <w:rFonts w:hint="eastAsia" w:ascii="仿宋_GB2312" w:eastAsia="仿宋_GB2312"/>
          <w:sz w:val="32"/>
          <w:szCs w:val="32"/>
        </w:rPr>
        <w:t>服务。</w:t>
      </w:r>
    </w:p>
    <w:p w14:paraId="1196EC88">
      <w:pPr>
        <w:pStyle w:val="12"/>
        <w:spacing w:before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合作期限内，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供应商应完成以下服务：</w:t>
      </w:r>
    </w:p>
    <w:tbl>
      <w:tblPr>
        <w:tblStyle w:val="7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02"/>
        <w:gridCol w:w="4394"/>
        <w:gridCol w:w="709"/>
        <w:gridCol w:w="1134"/>
      </w:tblGrid>
      <w:tr w14:paraId="5662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04EA">
            <w:pPr>
              <w:widowControl/>
              <w:ind w:firstLine="0" w:firstLineChars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6F1C">
            <w:pPr>
              <w:widowControl/>
              <w:ind w:firstLine="199" w:firstLineChars="99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服务项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4071">
            <w:pPr>
              <w:widowControl/>
              <w:ind w:firstLine="402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FC88">
            <w:pPr>
              <w:widowControl/>
              <w:ind w:firstLine="0" w:firstLineChars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99D6">
            <w:pPr>
              <w:widowControl/>
              <w:ind w:firstLine="0" w:firstLineChars="0"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月度量</w:t>
            </w:r>
          </w:p>
        </w:tc>
      </w:tr>
      <w:tr w14:paraId="1830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D699">
            <w:pPr>
              <w:widowControl/>
              <w:ind w:firstLineChars="10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7CF4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直播服务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8086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1.直播场次：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供应商每月完成80场有效直播（2个月合计160场）。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2.直播平台：指定为抖音平台或微信视频号平台，以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供应商官方账号或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供应商经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采购人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确认的垂直领域达人账号进行直播。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3.单场直播时长：≥90分钟，少1分钟则该场不计入有效场次。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4D1B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160场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AFAB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80场/月</w:t>
            </w:r>
          </w:p>
        </w:tc>
      </w:tr>
      <w:tr w14:paraId="56A3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91C5">
            <w:pPr>
              <w:widowControl/>
              <w:ind w:firstLineChars="10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D5B5">
            <w:pPr>
              <w:widowControl/>
              <w:ind w:firstLine="0" w:firstLineChars="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小视频服务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61DC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供应商每月完成20个有效短视频的拍摄、剪辑及发布（2个月合计40个）。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2.发布要求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·发布账号：邀约的发布账号数量不少于20个，账号粉丝量不低于1000人。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·发布平台：指定为抖音平台或微信视频号平台（每个视频仅计1个平台）。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·时长要求：单个视频 ≥60秒。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·内容重复限制：同一视频素材重新发布不计入有效数量。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1E5A">
            <w:pPr>
              <w:widowControl/>
              <w:ind w:firstLine="0" w:firstLineChars="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40个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059D">
            <w:pPr>
              <w:widowControl/>
              <w:ind w:firstLine="0" w:firstLineChars="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20个/月</w:t>
            </w:r>
          </w:p>
        </w:tc>
      </w:tr>
      <w:tr w14:paraId="22E8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0795">
            <w:pPr>
              <w:widowControl/>
              <w:ind w:firstLineChars="10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CDA7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新媒体达人启动活动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3012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供应商须完成一场线下“新媒体达人启动活动”。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2.活动要求：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·人数要求：实际到场且完成实名签到的达人 ≥50人。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·事前确认：活动方案、拟邀约达人名单须提前5个工作日经采购人书面确认；</w:t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·事后资料：签到记录（姓名、联系方式、签名）及现场影像资料于活动结束后2个工作日内提交采购人。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096A">
            <w:pPr>
              <w:widowControl/>
              <w:ind w:firstLine="0" w:firstLineChars="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1场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1068">
            <w:pPr>
              <w:widowControl/>
              <w:ind w:firstLine="0" w:firstLineChars="0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1CE8DA8A">
      <w:pPr>
        <w:pStyle w:val="12"/>
        <w:numPr>
          <w:ilvl w:val="255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）直播所需系统软件和设备（包括但不限于手机、摄影机、麦克风、灯光、直播平台及软件、直播账号等）均由供应商自行提供。</w:t>
      </w:r>
    </w:p>
    <w:p w14:paraId="30E48E3E"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sz w:val="32"/>
          <w:szCs w:val="32"/>
        </w:rPr>
        <w:t>）地产行业自媒体达人标准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：本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项目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所提及的“地产行业自媒体达人”或“达人”，必须拥有账号粉丝量不低于1000人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的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合法认证或实名认证的抖音或视频号账号，且账号近30天内有持续更新内容与互动。其账号主页发布内容中，与海南本地房产、楼市分析、区域发展、购房指南、家居装修等相关内容占比不低于50%。</w:t>
      </w:r>
    </w:p>
    <w:p w14:paraId="348A489E">
      <w:pPr>
        <w:spacing w:line="576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指标考核及结算</w:t>
      </w:r>
    </w:p>
    <w:p w14:paraId="6D19A2CA">
      <w:pPr>
        <w:pStyle w:val="12"/>
        <w:widowControl w:val="0"/>
        <w:overflowPunct w:val="0"/>
        <w:spacing w:before="0" w:after="0" w:line="560" w:lineRule="exact"/>
        <w:ind w:firstLine="640" w:firstLineChars="200"/>
        <w:jc w:val="both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本项目整体考核指标100%完成时，按100%进行结算，未完成时则按实际完成率进行结算，具体考核指标如下：</w:t>
      </w:r>
    </w:p>
    <w:p w14:paraId="0B87006B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1.直播场次指标：</w:t>
      </w:r>
    </w:p>
    <w:p w14:paraId="5527C50A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（1）直播服务</w:t>
      </w:r>
      <w:r>
        <w:rPr>
          <w:rFonts w:hAnsi="仿宋_GB2312" w:cs="仿宋_GB2312"/>
          <w:sz w:val="32"/>
          <w:szCs w:val="32"/>
        </w:rPr>
        <w:t>：</w:t>
      </w:r>
    </w:p>
    <w:p w14:paraId="74A78D68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1）直播场次：</w:t>
      </w:r>
      <w:r>
        <w:rPr>
          <w:rFonts w:hAnsi="仿宋_GB2312" w:cs="仿宋_GB2312"/>
          <w:sz w:val="32"/>
          <w:szCs w:val="32"/>
        </w:rPr>
        <w:t>每月完成80场有效直播（2个月合计160场），单场 ≥ 90分钟。</w:t>
      </w:r>
    </w:p>
    <w:p w14:paraId="43641F12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2）直播平台：指定为抖音平台或微信视频号平台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官方账号或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确认的垂直领域达人账号进行直播</w:t>
      </w:r>
      <w:r>
        <w:rPr>
          <w:rFonts w:hint="eastAsia" w:hAnsi="仿宋_GB2312" w:cs="仿宋_GB2312"/>
          <w:sz w:val="32"/>
          <w:szCs w:val="32"/>
        </w:rPr>
        <w:t>。</w:t>
      </w:r>
    </w:p>
    <w:p w14:paraId="7308C8EE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3）直播人员标准：</w:t>
      </w:r>
      <w:r>
        <w:rPr>
          <w:rFonts w:hAnsi="仿宋_GB2312" w:cs="仿宋_GB2312"/>
          <w:sz w:val="32"/>
          <w:szCs w:val="32"/>
        </w:rPr>
        <w:t>直播人员须为非临时聘请人员，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须为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官方账号工作人员或经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确认的垂直领域达人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持有人。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且</w:t>
      </w:r>
      <w:r>
        <w:rPr>
          <w:rFonts w:hAnsi="仿宋_GB2312" w:cs="仿宋_GB2312"/>
          <w:sz w:val="32"/>
          <w:szCs w:val="32"/>
        </w:rPr>
        <w:t>熟悉房地产基础知识，形象端正，着装得体。</w:t>
      </w:r>
    </w:p>
    <w:p w14:paraId="13A17E28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2.小视频数量指标：</w:t>
      </w:r>
    </w:p>
    <w:p w14:paraId="35718618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（1）小视频服务：</w:t>
      </w:r>
      <w:r>
        <w:rPr>
          <w:rFonts w:hAnsi="仿宋_GB2312" w:cs="仿宋_GB2312"/>
          <w:sz w:val="32"/>
          <w:szCs w:val="32"/>
        </w:rPr>
        <w:t>每月完成20个有效小视频（2个月合计40个）</w:t>
      </w:r>
      <w:r>
        <w:rPr>
          <w:rFonts w:hint="eastAsia" w:hAnsi="仿宋_GB2312" w:cs="仿宋_GB2312"/>
          <w:sz w:val="32"/>
          <w:szCs w:val="32"/>
        </w:rPr>
        <w:t>。</w:t>
      </w:r>
    </w:p>
    <w:p w14:paraId="5F321E15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（2）发布要求：</w:t>
      </w:r>
    </w:p>
    <w:p w14:paraId="4B80BAAB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hAnsi="仿宋_GB2312" w:eastAsia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</w:rPr>
        <w:t>1）发布账号：</w:t>
      </w:r>
      <w:r>
        <w:rPr>
          <w:rFonts w:hAnsi="仿宋_GB2312" w:cs="仿宋_GB2312"/>
          <w:sz w:val="32"/>
          <w:szCs w:val="32"/>
        </w:rPr>
        <w:t>发布账号</w:t>
      </w:r>
      <w:r>
        <w:rPr>
          <w:rFonts w:hint="eastAsia" w:hAnsi="仿宋_GB2312" w:cs="仿宋_GB2312"/>
          <w:sz w:val="32"/>
          <w:szCs w:val="32"/>
          <w:lang w:val="en-US" w:eastAsia="zh-CN"/>
        </w:rPr>
        <w:t>数量不少于</w:t>
      </w:r>
      <w:r>
        <w:rPr>
          <w:rFonts w:hAnsi="仿宋_GB2312" w:cs="仿宋_GB2312"/>
          <w:sz w:val="32"/>
          <w:szCs w:val="32"/>
        </w:rPr>
        <w:t>20个，须符合</w:t>
      </w:r>
      <w:r>
        <w:rPr>
          <w:rFonts w:hint="eastAsia" w:hAnsi="仿宋_GB2312" w:cs="仿宋_GB2312"/>
          <w:sz w:val="32"/>
          <w:szCs w:val="32"/>
          <w:lang w:val="en-US" w:eastAsia="zh-CN"/>
        </w:rPr>
        <w:t>上述</w:t>
      </w:r>
      <w:r>
        <w:rPr>
          <w:rFonts w:hAnsi="仿宋_GB2312" w:cs="仿宋_GB2312"/>
          <w:sz w:val="32"/>
          <w:szCs w:val="32"/>
        </w:rPr>
        <w:t>“地产行业自媒体达人标准”</w:t>
      </w:r>
      <w:r>
        <w:rPr>
          <w:rFonts w:hint="eastAsia" w:hAnsi="仿宋_GB2312" w:cs="仿宋_GB2312"/>
          <w:sz w:val="32"/>
          <w:szCs w:val="32"/>
          <w:lang w:eastAsia="zh-CN"/>
        </w:rPr>
        <w:t>。</w:t>
      </w:r>
    </w:p>
    <w:p w14:paraId="74D709C2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2）发布平台：指定为抖音平台或微信视频号平台（每个视频仅计1个平台）。</w:t>
      </w:r>
    </w:p>
    <w:p w14:paraId="789E3FB3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3）视频时长要求：</w:t>
      </w:r>
      <w:r>
        <w:rPr>
          <w:rFonts w:hAnsi="仿宋_GB2312" w:cs="仿宋_GB2312"/>
          <w:sz w:val="32"/>
          <w:szCs w:val="32"/>
        </w:rPr>
        <w:t>单个视频时长≥6</w:t>
      </w:r>
      <w:r>
        <w:rPr>
          <w:rFonts w:hint="eastAsia" w:hAnsi="仿宋_GB2312" w:cs="仿宋_GB2312"/>
          <w:sz w:val="32"/>
          <w:szCs w:val="32"/>
        </w:rPr>
        <w:t>0</w:t>
      </w:r>
      <w:r>
        <w:rPr>
          <w:rFonts w:hAnsi="仿宋_GB2312" w:cs="仿宋_GB2312"/>
          <w:sz w:val="32"/>
          <w:szCs w:val="32"/>
        </w:rPr>
        <w:t>秒，同一素材重复发布不计入有效。</w:t>
      </w:r>
    </w:p>
    <w:p w14:paraId="20B46E9B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hAnsi="仿宋_GB2312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3.新媒体达人启动活动指标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687FCC5D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hAnsi="仿宋_GB2312" w:cs="仿宋_GB2312"/>
          <w:sz w:val="32"/>
          <w:szCs w:val="32"/>
        </w:rPr>
        <w:t>（1）考核目标：</w:t>
      </w:r>
      <w:r>
        <w:rPr>
          <w:rFonts w:hint="eastAsia" w:hAnsi="仿宋_GB2312" w:cs="仿宋_GB2312"/>
          <w:sz w:val="32"/>
          <w:szCs w:val="32"/>
          <w:lang w:val="en-US" w:eastAsia="zh-CN"/>
        </w:rPr>
        <w:t>各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供应商须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成功组织一场专场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新媒体达人启动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活动，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实际到场并完成实名签到的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且符合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地产行业自媒体达人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标准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的本地达人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数量不少于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0人。</w:t>
      </w:r>
    </w:p>
    <w:p w14:paraId="40DEEC59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（2）活动要求：</w:t>
      </w:r>
    </w:p>
    <w:p w14:paraId="5028DB83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1）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各供应商</w:t>
      </w:r>
      <w:r>
        <w:rPr>
          <w:rFonts w:hint="eastAsia" w:hAnsi="仿宋_GB2312" w:cs="仿宋_GB2312"/>
          <w:sz w:val="32"/>
          <w:szCs w:val="32"/>
        </w:rPr>
        <w:t>保证保质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hAnsi="仿宋_GB2312" w:cs="仿宋_GB2312"/>
          <w:sz w:val="32"/>
          <w:szCs w:val="32"/>
        </w:rPr>
        <w:t>保量完成活动全流程工作，包括活动前的活动方案、物料清单等材料提交；活动中的场地布置、所有物料道具准备、工作人员到岗等；活动结束后处理善后事宜等。</w:t>
      </w:r>
    </w:p>
    <w:p w14:paraId="4A7A0988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2）活动签到记录（姓名、联系方式、签名）及现场影像资料于活动结束后2个工作日内完成提交。</w:t>
      </w:r>
    </w:p>
    <w:p w14:paraId="0D5EFC14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4.曝光量与销售额指标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绩效调整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0FF941F7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（1）曝光量：指直播及短视频发布后产生的总曝光次数（含抖音、微信视频号双平台）。</w:t>
      </w:r>
    </w:p>
    <w:p w14:paraId="68646B22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（2）销售额：指通过直播及短视频渠道直接产生的成交套数（以采购人指定后台数据为准）。</w:t>
      </w:r>
    </w:p>
    <w:p w14:paraId="6F6EDF59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（3）考核指标</w:t>
      </w:r>
    </w:p>
    <w:tbl>
      <w:tblPr>
        <w:tblStyle w:val="8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28"/>
        <w:gridCol w:w="1400"/>
        <w:gridCol w:w="1449"/>
        <w:gridCol w:w="3387"/>
      </w:tblGrid>
      <w:tr w14:paraId="3704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32" w:type="dxa"/>
            <w:vAlign w:val="center"/>
          </w:tcPr>
          <w:p w14:paraId="0B7B5E09">
            <w:pPr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16D326C2">
            <w:pPr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考核项</w:t>
            </w:r>
          </w:p>
        </w:tc>
        <w:tc>
          <w:tcPr>
            <w:tcW w:w="1400" w:type="dxa"/>
            <w:vAlign w:val="center"/>
          </w:tcPr>
          <w:p w14:paraId="3D82AFC0"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总量</w:t>
            </w:r>
          </w:p>
        </w:tc>
        <w:tc>
          <w:tcPr>
            <w:tcW w:w="1449" w:type="dxa"/>
            <w:vAlign w:val="center"/>
          </w:tcPr>
          <w:p w14:paraId="599D3955"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月度量</w:t>
            </w:r>
          </w:p>
        </w:tc>
        <w:tc>
          <w:tcPr>
            <w:tcW w:w="3387" w:type="dxa"/>
            <w:vAlign w:val="center"/>
          </w:tcPr>
          <w:p w14:paraId="7FAD50E2"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考核指标</w:t>
            </w:r>
          </w:p>
        </w:tc>
      </w:tr>
      <w:tr w14:paraId="2525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2" w:type="dxa"/>
            <w:vAlign w:val="center"/>
          </w:tcPr>
          <w:p w14:paraId="550E62DF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 w14:paraId="23F3F40F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曝光量</w:t>
            </w:r>
          </w:p>
        </w:tc>
        <w:tc>
          <w:tcPr>
            <w:tcW w:w="1400" w:type="dxa"/>
            <w:vAlign w:val="center"/>
          </w:tcPr>
          <w:p w14:paraId="60E69E44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100万次</w:t>
            </w:r>
          </w:p>
        </w:tc>
        <w:tc>
          <w:tcPr>
            <w:tcW w:w="1449" w:type="dxa"/>
            <w:vAlign w:val="center"/>
          </w:tcPr>
          <w:p w14:paraId="0A528719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50万次</w:t>
            </w:r>
          </w:p>
        </w:tc>
        <w:tc>
          <w:tcPr>
            <w:tcW w:w="3387" w:type="dxa"/>
            <w:vAlign w:val="center"/>
          </w:tcPr>
          <w:p w14:paraId="1B158F3E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单月曝光量 ≥ 50万次</w:t>
            </w:r>
          </w:p>
        </w:tc>
      </w:tr>
      <w:tr w14:paraId="1566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2" w:type="dxa"/>
            <w:vAlign w:val="center"/>
          </w:tcPr>
          <w:p w14:paraId="1901535A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 w14:paraId="62E7573F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销售额</w:t>
            </w:r>
          </w:p>
        </w:tc>
        <w:tc>
          <w:tcPr>
            <w:tcW w:w="1400" w:type="dxa"/>
            <w:vAlign w:val="center"/>
          </w:tcPr>
          <w:p w14:paraId="600AE486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4套</w:t>
            </w:r>
          </w:p>
        </w:tc>
        <w:tc>
          <w:tcPr>
            <w:tcW w:w="1449" w:type="dxa"/>
            <w:vAlign w:val="center"/>
          </w:tcPr>
          <w:p w14:paraId="1CEDE450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2套</w:t>
            </w:r>
          </w:p>
        </w:tc>
        <w:tc>
          <w:tcPr>
            <w:tcW w:w="3387" w:type="dxa"/>
            <w:vAlign w:val="center"/>
          </w:tcPr>
          <w:p w14:paraId="6D5C9FA9">
            <w:pPr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单月销售额 ≥ 2套</w:t>
            </w:r>
          </w:p>
        </w:tc>
      </w:tr>
    </w:tbl>
    <w:p w14:paraId="05DA3BA6">
      <w:pPr>
        <w:numPr>
          <w:ilvl w:val="0"/>
          <w:numId w:val="1"/>
        </w:numPr>
        <w:spacing w:line="560" w:lineRule="exact"/>
        <w:ind w:firstLine="64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考核方式与绩效调整规则</w:t>
      </w:r>
    </w:p>
    <w:p w14:paraId="202F0BB3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本合同结算分为两个阶段：</w:t>
      </w:r>
    </w:p>
    <w:p w14:paraId="47E094F0">
      <w:pPr>
        <w:numPr>
          <w:ilvl w:val="255"/>
          <w:numId w:val="0"/>
        </w:num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第一阶段：服务费结算。依据上述第1、2、3款核算“基础服务费”。</w:t>
      </w:r>
    </w:p>
    <w:p w14:paraId="4FE1094B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第二阶段：绩效调整。在基础服务费的基础上，根据以下曝光量与销售额的月度考核结果，进行扣款调整，得出最终应付金额。</w:t>
      </w:r>
    </w:p>
    <w:tbl>
      <w:tblPr>
        <w:tblStyle w:val="8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3254"/>
        <w:gridCol w:w="3434"/>
      </w:tblGrid>
      <w:tr w14:paraId="4FF0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28" w:type="dxa"/>
            <w:vAlign w:val="center"/>
          </w:tcPr>
          <w:p w14:paraId="6495D1A2">
            <w:pPr>
              <w:widowControl/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  <w:t>考核项</w:t>
            </w:r>
          </w:p>
        </w:tc>
        <w:tc>
          <w:tcPr>
            <w:tcW w:w="3254" w:type="dxa"/>
            <w:vAlign w:val="center"/>
          </w:tcPr>
          <w:p w14:paraId="629828E3">
            <w:pPr>
              <w:widowControl/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  <w:t>考核维度</w:t>
            </w:r>
          </w:p>
        </w:tc>
        <w:tc>
          <w:tcPr>
            <w:tcW w:w="3434" w:type="dxa"/>
            <w:vAlign w:val="center"/>
          </w:tcPr>
          <w:p w14:paraId="02658208">
            <w:pPr>
              <w:widowControl/>
              <w:ind w:firstLine="0" w:firstLineChars="0"/>
              <w:jc w:val="center"/>
              <w:rPr>
                <w:rFonts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  <w:t>未达标扣款比例</w:t>
            </w:r>
          </w:p>
          <w:p w14:paraId="0B3A2029">
            <w:pPr>
              <w:widowControl/>
              <w:ind w:firstLine="0" w:firstLineChars="0"/>
              <w:jc w:val="center"/>
              <w:rPr>
                <w:rFonts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b/>
                <w:bCs/>
                <w:color w:val="0F1115"/>
                <w:kern w:val="0"/>
                <w:sz w:val="24"/>
                <w:szCs w:val="24"/>
                <w:lang w:bidi="ar"/>
              </w:rPr>
              <w:t>（基于基础服务费）</w:t>
            </w:r>
          </w:p>
        </w:tc>
      </w:tr>
      <w:tr w14:paraId="781D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28" w:type="dxa"/>
            <w:vMerge w:val="restart"/>
            <w:vAlign w:val="center"/>
          </w:tcPr>
          <w:p w14:paraId="58AB2D24">
            <w:pPr>
              <w:widowControl/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kern w:val="0"/>
                <w:sz w:val="24"/>
                <w:szCs w:val="24"/>
                <w:lang w:bidi="ar"/>
              </w:rPr>
              <w:t>曝光量</w:t>
            </w:r>
          </w:p>
        </w:tc>
        <w:tc>
          <w:tcPr>
            <w:tcW w:w="3254" w:type="dxa"/>
            <w:vAlign w:val="center"/>
          </w:tcPr>
          <w:p w14:paraId="39EF9931">
            <w:pPr>
              <w:widowControl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第1月是否 ≥ 50万次</w:t>
            </w:r>
          </w:p>
        </w:tc>
        <w:tc>
          <w:tcPr>
            <w:tcW w:w="3434" w:type="dxa"/>
            <w:vAlign w:val="center"/>
          </w:tcPr>
          <w:p w14:paraId="37D4C1D8">
            <w:pPr>
              <w:widowControl/>
              <w:ind w:firstLine="0" w:firstLineChars="0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扣除基础服务费的5%</w:t>
            </w:r>
          </w:p>
        </w:tc>
      </w:tr>
      <w:tr w14:paraId="4B65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28" w:type="dxa"/>
            <w:vMerge w:val="continue"/>
            <w:vAlign w:val="center"/>
          </w:tcPr>
          <w:p w14:paraId="194D1EA4">
            <w:pPr>
              <w:widowControl/>
              <w:ind w:firstLine="60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3E9D2FE7">
            <w:pPr>
              <w:widowControl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第2月是否 ≥ 50万次</w:t>
            </w:r>
          </w:p>
        </w:tc>
        <w:tc>
          <w:tcPr>
            <w:tcW w:w="3434" w:type="dxa"/>
            <w:vAlign w:val="center"/>
          </w:tcPr>
          <w:p w14:paraId="2F437ED8">
            <w:pPr>
              <w:widowControl/>
              <w:ind w:firstLine="0" w:firstLineChars="0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扣除基础服务费的5%</w:t>
            </w:r>
          </w:p>
        </w:tc>
      </w:tr>
      <w:tr w14:paraId="5322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28" w:type="dxa"/>
            <w:vMerge w:val="restart"/>
            <w:vAlign w:val="center"/>
          </w:tcPr>
          <w:p w14:paraId="224FF495">
            <w:pPr>
              <w:widowControl/>
              <w:ind w:firstLine="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kern w:val="0"/>
                <w:sz w:val="24"/>
                <w:szCs w:val="24"/>
                <w:lang w:bidi="ar"/>
              </w:rPr>
              <w:t>销售额</w:t>
            </w:r>
          </w:p>
        </w:tc>
        <w:tc>
          <w:tcPr>
            <w:tcW w:w="3254" w:type="dxa"/>
            <w:vAlign w:val="center"/>
          </w:tcPr>
          <w:p w14:paraId="7066B126">
            <w:pPr>
              <w:widowControl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第1月是否 ≥ 2套</w:t>
            </w:r>
          </w:p>
        </w:tc>
        <w:tc>
          <w:tcPr>
            <w:tcW w:w="3434" w:type="dxa"/>
            <w:vAlign w:val="center"/>
          </w:tcPr>
          <w:p w14:paraId="2EA6E169">
            <w:pPr>
              <w:widowControl/>
              <w:ind w:firstLine="0" w:firstLineChars="0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扣除基础服务费的5%</w:t>
            </w:r>
          </w:p>
        </w:tc>
      </w:tr>
      <w:tr w14:paraId="50CE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28" w:type="dxa"/>
            <w:vMerge w:val="continue"/>
            <w:vAlign w:val="center"/>
          </w:tcPr>
          <w:p w14:paraId="670FDCA1">
            <w:pPr>
              <w:widowControl/>
              <w:ind w:firstLine="600"/>
              <w:jc w:val="left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54" w:type="dxa"/>
            <w:vAlign w:val="center"/>
          </w:tcPr>
          <w:p w14:paraId="6690068B">
            <w:pPr>
              <w:widowControl/>
              <w:ind w:firstLine="0" w:firstLineChars="0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第2月是否 ≥ 2套</w:t>
            </w:r>
          </w:p>
        </w:tc>
        <w:tc>
          <w:tcPr>
            <w:tcW w:w="3434" w:type="dxa"/>
            <w:vAlign w:val="center"/>
          </w:tcPr>
          <w:p w14:paraId="3E57FE94">
            <w:pPr>
              <w:widowControl/>
              <w:ind w:firstLine="0" w:firstLineChars="0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扣除基础服务费的5%</w:t>
            </w:r>
          </w:p>
        </w:tc>
      </w:tr>
      <w:tr w14:paraId="3824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6" w:type="dxa"/>
            <w:gridSpan w:val="3"/>
            <w:vAlign w:val="center"/>
          </w:tcPr>
          <w:p w14:paraId="1459126F">
            <w:pPr>
              <w:widowControl/>
              <w:ind w:firstLine="0" w:firstLineChars="0"/>
              <w:jc w:val="left"/>
              <w:rPr>
                <w:rFonts w:hAnsi="仿宋_GB2312" w:cs="仿宋_GB2312"/>
                <w:color w:val="0F111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b/>
                <w:bCs/>
                <w:color w:val="0F1115"/>
                <w:sz w:val="24"/>
                <w:szCs w:val="24"/>
                <w:shd w:val="clear" w:color="auto" w:fill="FFFFFF"/>
              </w:rPr>
              <w:t>绩效调整扣款上限：10%</w:t>
            </w:r>
            <w:r>
              <w:rPr>
                <w:rFonts w:hint="eastAsia" w:hAnsi="仿宋_GB2312" w:cs="仿宋_GB2312"/>
                <w:color w:val="0F1115"/>
                <w:sz w:val="24"/>
                <w:szCs w:val="24"/>
                <w:shd w:val="clear" w:color="auto" w:fill="FFFFFF"/>
              </w:rPr>
              <w:t>（累计最高不超过基础服务费10%）</w:t>
            </w:r>
          </w:p>
        </w:tc>
      </w:tr>
    </w:tbl>
    <w:p w14:paraId="57950FF1"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5.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基础服务费结算标准</w:t>
      </w:r>
      <w:r>
        <w:rPr>
          <w:rFonts w:hint="eastAsia" w:hAnsi="仿宋_GB2312" w:cs="仿宋_GB2312"/>
          <w:sz w:val="32"/>
          <w:szCs w:val="32"/>
          <w:lang w:val="en-US" w:eastAsia="zh-CN"/>
        </w:rPr>
        <w:t>（详见合同）</w:t>
      </w:r>
    </w:p>
    <w:p w14:paraId="1A6EDD16"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sz w:val="32"/>
          <w:szCs w:val="32"/>
        </w:rPr>
        <w:t>最终结算金额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hAnsi="仿宋_GB2312" w:cs="仿宋_GB2312"/>
          <w:sz w:val="32"/>
          <w:szCs w:val="32"/>
          <w:lang w:val="en-US" w:eastAsia="zh-CN"/>
        </w:rPr>
        <w:t>（详见合同）</w:t>
      </w:r>
    </w:p>
    <w:p w14:paraId="5750EFAF">
      <w:pPr>
        <w:spacing w:line="576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工作要求</w:t>
      </w:r>
    </w:p>
    <w:p w14:paraId="382F49ED">
      <w:pPr>
        <w:spacing w:line="576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人员要求</w:t>
      </w:r>
    </w:p>
    <w:p w14:paraId="0B8B8606">
      <w:pPr>
        <w:spacing w:line="576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/>
          <w:sz w:val="32"/>
          <w:szCs w:val="32"/>
        </w:rPr>
        <w:t>供应商需根据采购人要求提供</w:t>
      </w:r>
      <w:r>
        <w:rPr>
          <w:rFonts w:ascii="Times New Roman" w:hAnsi="Times New Roman"/>
          <w:sz w:val="32"/>
          <w:szCs w:val="32"/>
        </w:rPr>
        <w:t>至少需要1名项目负责人及1名辅助工作人员，</w:t>
      </w:r>
      <w:r>
        <w:rPr>
          <w:rFonts w:hint="eastAsia" w:ascii="Times New Roman" w:hAnsi="Times New Roman"/>
          <w:sz w:val="32"/>
          <w:szCs w:val="32"/>
        </w:rPr>
        <w:t>各成员要求如下：</w:t>
      </w:r>
    </w:p>
    <w:p w14:paraId="3F2E15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项目负责人（1名）要求：</w:t>
      </w:r>
      <w:r>
        <w:rPr>
          <w:rFonts w:ascii="Times New Roman" w:hAnsi="Times New Roman"/>
          <w:sz w:val="32"/>
          <w:szCs w:val="32"/>
        </w:rPr>
        <w:t>拟派项目负责人需为本单位人员，该人员须全面负责项目策划、达人资源对接、直播及小视频内容把控、启动活动统筹、与采购人沟通汇报、项目交付验收</w:t>
      </w:r>
      <w:r>
        <w:rPr>
          <w:rFonts w:hint="eastAsia" w:ascii="Times New Roman" w:hAnsi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1937DD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辅助工作人员</w:t>
      </w:r>
      <w:r>
        <w:rPr>
          <w:rFonts w:hint="eastAsia" w:ascii="Times New Roman" w:hAnsi="Times New Roman"/>
          <w:sz w:val="32"/>
          <w:szCs w:val="32"/>
        </w:rPr>
        <w:t>（1名）要求：拟派人员需为本单位人员，</w:t>
      </w:r>
      <w:r>
        <w:rPr>
          <w:rFonts w:ascii="Times New Roman" w:hAnsi="Times New Roman"/>
          <w:sz w:val="32"/>
          <w:szCs w:val="32"/>
        </w:rPr>
        <w:t>拟派人员需为本单位人员，该人员须协助负责人完成达人联络排期、直播场控及技术支持、小视频素材整理、启动活动现场执行、日常事务协调。</w:t>
      </w:r>
    </w:p>
    <w:p w14:paraId="18E1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、服务期及结算约定</w:t>
      </w:r>
    </w:p>
    <w:p w14:paraId="2154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hAnsi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服务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期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hAnsi="Times New Roman"/>
          <w:sz w:val="32"/>
          <w:szCs w:val="32"/>
        </w:rPr>
        <w:t>2个月，自合同签订之日起算。</w:t>
      </w:r>
    </w:p>
    <w:p w14:paraId="58EFFBB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kern w:val="2"/>
          <w:sz w:val="32"/>
          <w:szCs w:val="32"/>
        </w:rPr>
        <w:t>付款时间：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详见合同。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5CB081-80DF-4792-B5E7-20C2A9D70D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0F4655-5F81-4367-8181-757282A8AC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9477FB-3E06-4F46-B2AE-7C96D26810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D6DC643-CA0A-4895-91CA-CB45021FB7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BB180F2-042E-4D66-B9D0-29C857BAC6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1B4417F-948B-419A-95EF-6B07E1A50E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E6F6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46442">
                          <w:pPr>
                            <w:pStyle w:val="4"/>
                            <w:ind w:firstLine="64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46442">
                    <w:pPr>
                      <w:pStyle w:val="4"/>
                      <w:ind w:firstLine="64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EF8C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8585D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F8145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0787A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ECE09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470DC"/>
    <w:multiLevelType w:val="singleLevel"/>
    <w:tmpl w:val="F14470D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34CCD04"/>
    <w:multiLevelType w:val="singleLevel"/>
    <w:tmpl w:val="334CCD04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0741F"/>
    <w:rsid w:val="00070DED"/>
    <w:rsid w:val="00202CEC"/>
    <w:rsid w:val="003B091C"/>
    <w:rsid w:val="00407AD7"/>
    <w:rsid w:val="00412C0F"/>
    <w:rsid w:val="0048741A"/>
    <w:rsid w:val="004B0AE1"/>
    <w:rsid w:val="004D6A0D"/>
    <w:rsid w:val="005D2D57"/>
    <w:rsid w:val="005E2712"/>
    <w:rsid w:val="006963D2"/>
    <w:rsid w:val="006A65E0"/>
    <w:rsid w:val="00786A70"/>
    <w:rsid w:val="00857A39"/>
    <w:rsid w:val="008A5B0E"/>
    <w:rsid w:val="009370D1"/>
    <w:rsid w:val="00982974"/>
    <w:rsid w:val="00986457"/>
    <w:rsid w:val="009924C1"/>
    <w:rsid w:val="00A66B2B"/>
    <w:rsid w:val="00A87826"/>
    <w:rsid w:val="00AE4D46"/>
    <w:rsid w:val="00B0522E"/>
    <w:rsid w:val="00B06AB2"/>
    <w:rsid w:val="00BE59C4"/>
    <w:rsid w:val="00C6171A"/>
    <w:rsid w:val="00CB566B"/>
    <w:rsid w:val="00D13F24"/>
    <w:rsid w:val="00E22EB0"/>
    <w:rsid w:val="00E6153F"/>
    <w:rsid w:val="00E90990"/>
    <w:rsid w:val="00F02086"/>
    <w:rsid w:val="00F03D93"/>
    <w:rsid w:val="01E358AA"/>
    <w:rsid w:val="031067B6"/>
    <w:rsid w:val="05EE1047"/>
    <w:rsid w:val="072B5922"/>
    <w:rsid w:val="260179FC"/>
    <w:rsid w:val="2C8B3BD7"/>
    <w:rsid w:val="436C7253"/>
    <w:rsid w:val="4C1861C0"/>
    <w:rsid w:val="4C9978BA"/>
    <w:rsid w:val="52A0741F"/>
    <w:rsid w:val="65727356"/>
    <w:rsid w:val="6CEA349A"/>
    <w:rsid w:val="7CA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="仿宋_GB2312" w:hAnsi="Calibri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2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6fbd515c-402e-4195-b594-addb8741f061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 93A3A0</paraID>
      <start>68</start>
      <end>68</end>
      <status>modified</status>
      <modifiedWord/>
      <trackRevisions>false</trackRevisions>
    </reviewItem>
    <reviewItem>
      <errorID>14707493-65ba-41ca-8c3e-d22140ee82ca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30E48E3E</paraID>
      <start>14</start>
      <end>15</end>
      <status>modified</status>
      <modifiedWord>：</modifiedWord>
      <trackRevisions>false</trackRevisions>
    </reviewItem>
    <reviewItem>
      <errorID>ec198283-6b86-4eab-9191-4d6462e22849</errorID>
      <errorWord>账号账号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7308C8EE</paraID>
      <start>54</start>
      <end>56</end>
      <status>modified</status>
      <modifiedWord>账号</modifiedWord>
      <trackRevisions>false</trackRevisions>
    </reviewItem>
    <reviewItem>
      <errorID>4976e566-324d-4fe4-9133-ad0a471a3553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47E094F0</paraID>
      <start>24</start>
      <end>24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14795-6412-4552-a4c8-ece700130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1729</Words>
  <Characters>1785</Characters>
  <Lines>19</Lines>
  <Paragraphs>5</Paragraphs>
  <TotalTime>0</TotalTime>
  <ScaleCrop>false</ScaleCrop>
  <LinksUpToDate>false</LinksUpToDate>
  <CharactersWithSpaces>1795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2026-06-01T08:07:00Z</dcterms:created>
  <dc:creator>冯某某</dc:creator>
  <cp:lastModifiedBy>冯某某</cp:lastModifiedBy>
  <dcterms:modified xsi:type="dcterms:W3CDTF">2026-06-22T00:54:04Z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937BB0CF67794964A71D9714C8C02BAB_13</vt:lpwstr>
  </property>
  <property fmtid="{D5CDD505-2E9C-101B-9397-08002B2CF9AE}" pid="4" name="KSOTemplateDocerSaveRecord">
    <vt:lpwstr>eyJoZGlkIjoiZWJjYWRjZDQ2YTNhMDYzNmUyNmZkM2FjZmMwMjkyZTciLCJ1c2VySWQiOiI1MDg1NTkzOTMifQ==</vt:lpwstr>
  </property>
</Properties>
</file>